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82103A">
        <w:rPr>
          <w:rFonts w:ascii="Palatino Linotype" w:hAnsi="Palatino Linotype" w:cs="Arial"/>
          <w:b/>
          <w:bCs/>
          <w:sz w:val="23"/>
          <w:szCs w:val="23"/>
        </w:rPr>
        <w:t>3836</w:t>
      </w:r>
      <w:r w:rsidR="00436541">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765F0B" w:rsidRDefault="00E6179D">
          <w:pPr>
            <w:pStyle w:val="TDC1"/>
            <w:rPr>
              <w:rFonts w:asciiTheme="minorHAnsi" w:eastAsiaTheme="minorEastAsia" w:hAnsiTheme="minorHAnsi"/>
              <w:b w:val="0"/>
              <w:sz w:val="22"/>
              <w:szCs w:val="22"/>
              <w:lang w:eastAsia="es-MX"/>
            </w:rPr>
          </w:pPr>
          <w:r w:rsidRPr="00F42584">
            <w:rPr>
              <w:sz w:val="24"/>
              <w:szCs w:val="24"/>
            </w:rPr>
            <w:fldChar w:fldCharType="begin"/>
          </w:r>
          <w:r w:rsidRPr="00F42584">
            <w:rPr>
              <w:sz w:val="24"/>
              <w:szCs w:val="24"/>
            </w:rPr>
            <w:instrText xml:space="preserve"> TOC \o "1-3" \h \z \u </w:instrText>
          </w:r>
          <w:r w:rsidRPr="00F42584">
            <w:rPr>
              <w:sz w:val="24"/>
              <w:szCs w:val="24"/>
            </w:rPr>
            <w:fldChar w:fldCharType="separate"/>
          </w:r>
          <w:hyperlink w:anchor="_Toc532820541" w:history="1">
            <w:r w:rsidR="00765F0B" w:rsidRPr="00E55AD4">
              <w:rPr>
                <w:rStyle w:val="Hipervnculo"/>
                <w:rFonts w:eastAsia="Times New Roman"/>
              </w:rPr>
              <w:t>I.</w:t>
            </w:r>
            <w:r w:rsidR="00765F0B">
              <w:rPr>
                <w:rFonts w:asciiTheme="minorHAnsi" w:eastAsiaTheme="minorEastAsia" w:hAnsiTheme="minorHAnsi"/>
                <w:b w:val="0"/>
                <w:sz w:val="22"/>
                <w:szCs w:val="22"/>
                <w:lang w:eastAsia="es-MX"/>
              </w:rPr>
              <w:tab/>
            </w:r>
            <w:r w:rsidR="00765F0B" w:rsidRPr="00E55AD4">
              <w:rPr>
                <w:rStyle w:val="Hipervnculo"/>
                <w:rFonts w:eastAsia="Times New Roman"/>
              </w:rPr>
              <w:t>Consideraciones Generales</w:t>
            </w:r>
            <w:r w:rsidR="00765F0B">
              <w:rPr>
                <w:webHidden/>
              </w:rPr>
              <w:tab/>
            </w:r>
            <w:r w:rsidR="00765F0B">
              <w:rPr>
                <w:webHidden/>
              </w:rPr>
              <w:fldChar w:fldCharType="begin"/>
            </w:r>
            <w:r w:rsidR="00765F0B">
              <w:rPr>
                <w:webHidden/>
              </w:rPr>
              <w:instrText xml:space="preserve"> PAGEREF _Toc532820541 \h </w:instrText>
            </w:r>
            <w:r w:rsidR="00765F0B">
              <w:rPr>
                <w:webHidden/>
              </w:rPr>
            </w:r>
            <w:r w:rsidR="00765F0B">
              <w:rPr>
                <w:webHidden/>
              </w:rPr>
              <w:fldChar w:fldCharType="separate"/>
            </w:r>
            <w:r w:rsidR="00765F0B">
              <w:rPr>
                <w:webHidden/>
              </w:rPr>
              <w:t>1</w:t>
            </w:r>
            <w:r w:rsidR="00765F0B">
              <w:rPr>
                <w:webHidden/>
              </w:rPr>
              <w:fldChar w:fldCharType="end"/>
            </w:r>
          </w:hyperlink>
        </w:p>
        <w:p w:rsidR="00765F0B" w:rsidRDefault="009066EC">
          <w:pPr>
            <w:pStyle w:val="TDC1"/>
            <w:rPr>
              <w:rFonts w:asciiTheme="minorHAnsi" w:eastAsiaTheme="minorEastAsia" w:hAnsiTheme="minorHAnsi"/>
              <w:b w:val="0"/>
              <w:sz w:val="22"/>
              <w:szCs w:val="22"/>
              <w:lang w:eastAsia="es-MX"/>
            </w:rPr>
          </w:pPr>
          <w:hyperlink w:anchor="_Toc532820542" w:history="1">
            <w:r w:rsidR="00765F0B" w:rsidRPr="00E55AD4">
              <w:rPr>
                <w:rStyle w:val="Hipervnculo"/>
                <w:rFonts w:eastAsia="Calibri"/>
                <w:lang w:val="es-ES"/>
              </w:rPr>
              <w:t>II.</w:t>
            </w:r>
            <w:r w:rsidR="00765F0B">
              <w:rPr>
                <w:rFonts w:asciiTheme="minorHAnsi" w:eastAsiaTheme="minorEastAsia" w:hAnsiTheme="minorHAnsi"/>
                <w:b w:val="0"/>
                <w:sz w:val="22"/>
                <w:szCs w:val="22"/>
                <w:lang w:eastAsia="es-MX"/>
              </w:rPr>
              <w:tab/>
            </w:r>
            <w:r w:rsidR="00765F0B" w:rsidRPr="00E55AD4">
              <w:rPr>
                <w:rStyle w:val="Hipervnculo"/>
                <w:rFonts w:eastAsia="Calibri"/>
                <w:lang w:val="es-ES"/>
              </w:rPr>
              <w:t>De los requerimientos planteados en el recurso de revisión.</w:t>
            </w:r>
            <w:r w:rsidR="00765F0B">
              <w:rPr>
                <w:webHidden/>
              </w:rPr>
              <w:tab/>
            </w:r>
            <w:r w:rsidR="00765F0B">
              <w:rPr>
                <w:webHidden/>
              </w:rPr>
              <w:fldChar w:fldCharType="begin"/>
            </w:r>
            <w:r w:rsidR="00765F0B">
              <w:rPr>
                <w:webHidden/>
              </w:rPr>
              <w:instrText xml:space="preserve"> PAGEREF _Toc532820542 \h </w:instrText>
            </w:r>
            <w:r w:rsidR="00765F0B">
              <w:rPr>
                <w:webHidden/>
              </w:rPr>
            </w:r>
            <w:r w:rsidR="00765F0B">
              <w:rPr>
                <w:webHidden/>
              </w:rPr>
              <w:fldChar w:fldCharType="separate"/>
            </w:r>
            <w:r w:rsidR="00765F0B">
              <w:rPr>
                <w:webHidden/>
              </w:rPr>
              <w:t>2</w:t>
            </w:r>
            <w:r w:rsidR="00765F0B">
              <w:rPr>
                <w:webHidden/>
              </w:rPr>
              <w:fldChar w:fldCharType="end"/>
            </w:r>
          </w:hyperlink>
        </w:p>
        <w:p w:rsidR="00765F0B" w:rsidRDefault="009066EC">
          <w:pPr>
            <w:pStyle w:val="TDC2"/>
            <w:rPr>
              <w:rFonts w:eastAsiaTheme="minorEastAsia"/>
              <w:noProof/>
              <w:lang w:eastAsia="es-MX"/>
            </w:rPr>
          </w:pPr>
          <w:hyperlink w:anchor="_Toc532820543" w:history="1">
            <w:r w:rsidR="00765F0B" w:rsidRPr="00E55AD4">
              <w:rPr>
                <w:rStyle w:val="Hipervnculo"/>
                <w:b/>
                <w:noProof/>
              </w:rPr>
              <w:t>III. Del Derecho de Acceso a la información pública y el deber de motivar.</w:t>
            </w:r>
            <w:r w:rsidR="00765F0B">
              <w:rPr>
                <w:noProof/>
                <w:webHidden/>
              </w:rPr>
              <w:tab/>
            </w:r>
            <w:r w:rsidR="00765F0B">
              <w:rPr>
                <w:noProof/>
                <w:webHidden/>
              </w:rPr>
              <w:fldChar w:fldCharType="begin"/>
            </w:r>
            <w:r w:rsidR="00765F0B">
              <w:rPr>
                <w:noProof/>
                <w:webHidden/>
              </w:rPr>
              <w:instrText xml:space="preserve"> PAGEREF _Toc532820543 \h </w:instrText>
            </w:r>
            <w:r w:rsidR="00765F0B">
              <w:rPr>
                <w:noProof/>
                <w:webHidden/>
              </w:rPr>
            </w:r>
            <w:r w:rsidR="00765F0B">
              <w:rPr>
                <w:noProof/>
                <w:webHidden/>
              </w:rPr>
              <w:fldChar w:fldCharType="separate"/>
            </w:r>
            <w:r w:rsidR="00765F0B">
              <w:rPr>
                <w:noProof/>
                <w:webHidden/>
              </w:rPr>
              <w:t>6</w:t>
            </w:r>
            <w:r w:rsidR="00765F0B">
              <w:rPr>
                <w:noProof/>
                <w:webHidden/>
              </w:rPr>
              <w:fldChar w:fldCharType="end"/>
            </w:r>
          </w:hyperlink>
        </w:p>
        <w:p w:rsidR="00765F0B" w:rsidRDefault="009066EC">
          <w:pPr>
            <w:pStyle w:val="TDC1"/>
            <w:rPr>
              <w:rFonts w:asciiTheme="minorHAnsi" w:eastAsiaTheme="minorEastAsia" w:hAnsiTheme="minorHAnsi"/>
              <w:b w:val="0"/>
              <w:sz w:val="22"/>
              <w:szCs w:val="22"/>
              <w:lang w:eastAsia="es-MX"/>
            </w:rPr>
          </w:pPr>
          <w:hyperlink w:anchor="_Toc532820544" w:history="1">
            <w:r w:rsidR="00765F0B" w:rsidRPr="00E55AD4">
              <w:rPr>
                <w:rStyle w:val="Hipervnculo"/>
                <w:rFonts w:eastAsia="Calibri"/>
              </w:rPr>
              <w:t>IV. Del Pronunciamiento simple</w:t>
            </w:r>
            <w:r w:rsidR="00765F0B">
              <w:rPr>
                <w:webHidden/>
              </w:rPr>
              <w:tab/>
            </w:r>
            <w:r w:rsidR="00765F0B">
              <w:rPr>
                <w:webHidden/>
              </w:rPr>
              <w:fldChar w:fldCharType="begin"/>
            </w:r>
            <w:r w:rsidR="00765F0B">
              <w:rPr>
                <w:webHidden/>
              </w:rPr>
              <w:instrText xml:space="preserve"> PAGEREF _Toc532820544 \h </w:instrText>
            </w:r>
            <w:r w:rsidR="00765F0B">
              <w:rPr>
                <w:webHidden/>
              </w:rPr>
            </w:r>
            <w:r w:rsidR="00765F0B">
              <w:rPr>
                <w:webHidden/>
              </w:rPr>
              <w:fldChar w:fldCharType="separate"/>
            </w:r>
            <w:r w:rsidR="00765F0B">
              <w:rPr>
                <w:webHidden/>
              </w:rPr>
              <w:t>11</w:t>
            </w:r>
            <w:r w:rsidR="00765F0B">
              <w:rPr>
                <w:webHidden/>
              </w:rPr>
              <w:fldChar w:fldCharType="end"/>
            </w:r>
          </w:hyperlink>
        </w:p>
        <w:p w:rsidR="00765F0B" w:rsidRDefault="009066EC">
          <w:pPr>
            <w:pStyle w:val="TDC1"/>
            <w:rPr>
              <w:rFonts w:asciiTheme="minorHAnsi" w:eastAsiaTheme="minorEastAsia" w:hAnsiTheme="minorHAnsi"/>
              <w:b w:val="0"/>
              <w:sz w:val="22"/>
              <w:szCs w:val="22"/>
              <w:lang w:eastAsia="es-MX"/>
            </w:rPr>
          </w:pPr>
          <w:hyperlink w:anchor="_Toc532820545" w:history="1">
            <w:r w:rsidR="00765F0B" w:rsidRPr="00E55AD4">
              <w:rPr>
                <w:rStyle w:val="Hipervnculo"/>
                <w:rFonts w:eastAsia="Calibri"/>
              </w:rPr>
              <w:t>V. Conclusión.</w:t>
            </w:r>
            <w:r w:rsidR="00765F0B">
              <w:rPr>
                <w:webHidden/>
              </w:rPr>
              <w:tab/>
            </w:r>
            <w:r w:rsidR="00765F0B">
              <w:rPr>
                <w:webHidden/>
              </w:rPr>
              <w:fldChar w:fldCharType="begin"/>
            </w:r>
            <w:r w:rsidR="00765F0B">
              <w:rPr>
                <w:webHidden/>
              </w:rPr>
              <w:instrText xml:space="preserve"> PAGEREF _Toc532820545 \h </w:instrText>
            </w:r>
            <w:r w:rsidR="00765F0B">
              <w:rPr>
                <w:webHidden/>
              </w:rPr>
            </w:r>
            <w:r w:rsidR="00765F0B">
              <w:rPr>
                <w:webHidden/>
              </w:rPr>
              <w:fldChar w:fldCharType="separate"/>
            </w:r>
            <w:r w:rsidR="00765F0B">
              <w:rPr>
                <w:webHidden/>
              </w:rPr>
              <w:t>19</w:t>
            </w:r>
            <w:r w:rsidR="00765F0B">
              <w:rPr>
                <w:webHidden/>
              </w:rPr>
              <w:fldChar w:fldCharType="end"/>
            </w:r>
          </w:hyperlink>
        </w:p>
        <w:p w:rsidR="00E6179D" w:rsidRPr="008E7A8C" w:rsidRDefault="00E6179D" w:rsidP="00B73B30">
          <w:pPr>
            <w:spacing w:line="360" w:lineRule="auto"/>
            <w:rPr>
              <w:rFonts w:ascii="Palatino Linotype" w:hAnsi="Palatino Linotype"/>
              <w:sz w:val="24"/>
              <w:szCs w:val="24"/>
            </w:rPr>
          </w:pPr>
          <w:r w:rsidRPr="00F42584">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32820541"/>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0131FD">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BB6D90">
        <w:rPr>
          <w:rFonts w:ascii="Palatino Linotype" w:eastAsia="Calibri" w:hAnsi="Palatino Linotype" w:cs="Arial"/>
          <w:sz w:val="24"/>
          <w:szCs w:val="24"/>
        </w:rPr>
        <w:t>Cuadragésima</w:t>
      </w:r>
      <w:r w:rsidR="000D2AD4">
        <w:rPr>
          <w:rFonts w:ascii="Palatino Linotype" w:eastAsia="Calibri" w:hAnsi="Palatino Linotype" w:cs="Arial"/>
          <w:sz w:val="24"/>
          <w:szCs w:val="24"/>
        </w:rPr>
        <w:t xml:space="preserve"> </w:t>
      </w:r>
      <w:r w:rsidR="0082103A">
        <w:rPr>
          <w:rFonts w:ascii="Palatino Linotype" w:eastAsia="Calibri" w:hAnsi="Palatino Linotype" w:cs="Arial"/>
          <w:sz w:val="24"/>
          <w:szCs w:val="24"/>
        </w:rPr>
        <w:t>Sexta</w:t>
      </w:r>
      <w:r w:rsidR="000D2AD4">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82103A">
        <w:rPr>
          <w:rFonts w:ascii="Palatino Linotype" w:eastAsia="Calibri" w:hAnsi="Palatino Linotype" w:cs="Arial"/>
          <w:sz w:val="24"/>
          <w:szCs w:val="24"/>
        </w:rPr>
        <w:t>doce</w:t>
      </w:r>
      <w:r w:rsidRPr="00427B79">
        <w:rPr>
          <w:rFonts w:ascii="Palatino Linotype" w:eastAsia="Calibri" w:hAnsi="Palatino Linotype" w:cs="Arial"/>
          <w:sz w:val="24"/>
          <w:szCs w:val="24"/>
        </w:rPr>
        <w:t xml:space="preserve"> (</w:t>
      </w:r>
      <w:r w:rsidR="0082103A">
        <w:rPr>
          <w:rFonts w:ascii="Palatino Linotype" w:eastAsia="Calibri" w:hAnsi="Palatino Linotype" w:cs="Arial"/>
          <w:sz w:val="24"/>
          <w:szCs w:val="24"/>
        </w:rPr>
        <w:t>12</w:t>
      </w:r>
      <w:r w:rsidR="00422BF0">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de </w:t>
      </w:r>
      <w:r w:rsidR="003A4479">
        <w:rPr>
          <w:rFonts w:ascii="Palatino Linotype" w:eastAsia="Calibri" w:hAnsi="Palatino Linotype" w:cs="Arial"/>
          <w:sz w:val="24"/>
          <w:szCs w:val="24"/>
        </w:rPr>
        <w:t>diciembre</w:t>
      </w:r>
      <w:r w:rsidR="008825D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0F0970" w:rsidRPr="000F0970">
        <w:rPr>
          <w:rFonts w:ascii="Palatino Linotype" w:hAnsi="Palatino Linotype"/>
          <w:b/>
        </w:rPr>
        <w:t xml:space="preserve"> </w:t>
      </w:r>
      <w:r w:rsidR="00031184">
        <w:rPr>
          <w:rFonts w:ascii="Palatino Linotype" w:hAnsi="Palatino Linotype"/>
          <w:b/>
        </w:rPr>
        <w:t xml:space="preserve"> </w:t>
      </w:r>
      <w:r w:rsidR="00031184" w:rsidRPr="00031184">
        <w:rPr>
          <w:rFonts w:ascii="Palatino Linotype" w:hAnsi="Palatino Linotype"/>
        </w:rPr>
        <w:t xml:space="preserve">el </w:t>
      </w:r>
      <w:r w:rsidR="00031184" w:rsidRPr="00031184">
        <w:rPr>
          <w:rFonts w:ascii="Palatino Linotype" w:hAnsi="Palatino Linotype" w:cs="Arial"/>
          <w:b/>
          <w:sz w:val="24"/>
          <w:szCs w:val="24"/>
        </w:rPr>
        <w:t xml:space="preserve"> </w:t>
      </w:r>
      <w:r w:rsidR="009066EC" w:rsidRPr="009066EC">
        <w:rPr>
          <w:rFonts w:ascii="Palatino Linotype" w:hAnsi="Palatino Linotype" w:cs="Tahoma"/>
          <w:b/>
          <w:bCs/>
          <w:color w:val="0D0D0D" w:themeColor="text1" w:themeTint="F2"/>
          <w:sz w:val="24"/>
          <w:szCs w:val="24"/>
          <w:highlight w:val="black"/>
        </w:rPr>
        <w:t>--------------------------------------------</w:t>
      </w:r>
      <w:r w:rsidR="0082103A">
        <w:rPr>
          <w:rFonts w:ascii="Palatino Linotype" w:hAnsi="Palatino Linotype" w:cs="Tahoma"/>
          <w:bCs/>
          <w:color w:val="0D0D0D" w:themeColor="text1" w:themeTint="F2"/>
        </w:rPr>
        <w:t>,</w:t>
      </w:r>
      <w:r w:rsidR="0082103A">
        <w:rPr>
          <w:rFonts w:ascii="Palatino Linotype" w:eastAsia="Calibri" w:hAnsi="Palatino Linotype" w:cs="Arial"/>
          <w:sz w:val="24"/>
          <w:szCs w:val="24"/>
        </w:rPr>
        <w:t xml:space="preserve"> </w:t>
      </w:r>
      <w:r w:rsidR="003E0648">
        <w:rPr>
          <w:rFonts w:ascii="Palatino Linotype" w:eastAsia="Calibri" w:hAnsi="Palatino Linotype" w:cs="Arial"/>
          <w:sz w:val="24"/>
          <w:szCs w:val="24"/>
        </w:rPr>
        <w:t xml:space="preserve">en contra </w:t>
      </w:r>
      <w:r w:rsidR="003E0648">
        <w:rPr>
          <w:rFonts w:ascii="Palatino Linotype" w:eastAsia="Calibri" w:hAnsi="Palatino Linotype" w:cs="Arial"/>
          <w:sz w:val="24"/>
          <w:szCs w:val="24"/>
        </w:rPr>
        <w:lastRenderedPageBreak/>
        <w:t>de la respuesta</w:t>
      </w:r>
      <w:r w:rsidR="0036141D">
        <w:rPr>
          <w:rFonts w:ascii="Palatino Linotype" w:eastAsia="Calibri" w:hAnsi="Palatino Linotype" w:cs="Arial"/>
          <w:sz w:val="24"/>
          <w:szCs w:val="24"/>
        </w:rPr>
        <w:t xml:space="preserve"> de</w:t>
      </w:r>
      <w:r w:rsidR="00422BF0">
        <w:rPr>
          <w:rFonts w:ascii="Palatino Linotype" w:eastAsia="Calibri" w:hAnsi="Palatino Linotype" w:cs="Arial"/>
          <w:sz w:val="24"/>
          <w:szCs w:val="24"/>
        </w:rPr>
        <w:t>l</w:t>
      </w:r>
      <w:r w:rsidR="00540F48" w:rsidRPr="00540F48">
        <w:rPr>
          <w:rFonts w:ascii="Palatino Linotype" w:hAnsi="Palatino Linotype" w:cs="Tahoma"/>
          <w:bCs/>
          <w:color w:val="0D0D0D" w:themeColor="text1" w:themeTint="F2"/>
        </w:rPr>
        <w:t xml:space="preserve"> </w:t>
      </w:r>
      <w:r w:rsidR="00540F48" w:rsidRPr="00540F48">
        <w:rPr>
          <w:rFonts w:ascii="Palatino Linotype" w:hAnsi="Palatino Linotype" w:cs="Tahoma"/>
          <w:b/>
          <w:bCs/>
          <w:color w:val="0D0D0D" w:themeColor="text1" w:themeTint="F2"/>
          <w:sz w:val="24"/>
          <w:szCs w:val="24"/>
        </w:rPr>
        <w:t>Ayuntamiento de Cuautitlán</w:t>
      </w:r>
      <w:r w:rsidR="00436541" w:rsidRPr="004D379F">
        <w:rPr>
          <w:rFonts w:ascii="Palatino Linotype" w:hAnsi="Palatino Linotype" w:cs="Arial"/>
        </w:rPr>
        <w:t>,</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540F48">
        <w:rPr>
          <w:rFonts w:ascii="Palatino Linotype" w:hAnsi="Palatino Linotype" w:cs="Arial"/>
          <w:b/>
          <w:bCs/>
          <w:sz w:val="23"/>
          <w:szCs w:val="23"/>
        </w:rPr>
        <w:t>3836</w:t>
      </w:r>
      <w:r w:rsidR="00EF3EA6" w:rsidRPr="006D3D71">
        <w:rPr>
          <w:rFonts w:ascii="Palatino Linotype" w:hAnsi="Palatino Linotype" w:cs="Arial"/>
          <w:b/>
          <w:bCs/>
          <w:sz w:val="23"/>
          <w:szCs w:val="23"/>
        </w:rPr>
        <w:t>/INFOEM/IP/RR/2018</w:t>
      </w:r>
      <w:r w:rsidR="00F776CD">
        <w:rPr>
          <w:rFonts w:ascii="Palatino Linotype" w:hAnsi="Palatino Linotype" w:cs="Arial"/>
          <w:b/>
          <w:bCs/>
          <w:sz w:val="23"/>
          <w:szCs w:val="23"/>
        </w:rPr>
        <w:t>.</w:t>
      </w:r>
      <w:r w:rsidR="00540F48">
        <w:rPr>
          <w:rFonts w:ascii="Palatino Linotype" w:hAnsi="Palatino Linotype" w:cs="Arial"/>
          <w:b/>
          <w:bCs/>
          <w:sz w:val="23"/>
          <w:szCs w:val="23"/>
        </w:rPr>
        <w:t xml:space="preserve"> </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E450E5">
        <w:rPr>
          <w:rFonts w:ascii="Palatino Linotype" w:eastAsia="Calibri" w:hAnsi="Palatino Linotype" w:cs="Arial"/>
          <w:b/>
          <w:sz w:val="24"/>
          <w:szCs w:val="24"/>
        </w:rPr>
        <w:t>REVOCAR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532820542"/>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930786" w:rsidRDefault="00E6179D" w:rsidP="00930786">
      <w:pPr>
        <w:spacing w:line="360" w:lineRule="auto"/>
        <w:ind w:left="851" w:right="850"/>
        <w:jc w:val="both"/>
        <w:rPr>
          <w:rFonts w:ascii="Palatino Linotype" w:hAnsi="Palatino Linotype"/>
          <w:i/>
          <w:lang w:val="es-ES_tradnl"/>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5C253D" w:rsidRPr="005C253D">
        <w:rPr>
          <w:rFonts w:ascii="Palatino Linotype" w:eastAsia="Calibri" w:hAnsi="Palatino Linotype" w:cs="Arial"/>
          <w:sz w:val="24"/>
          <w:szCs w:val="24"/>
        </w:rPr>
        <w:t xml:space="preserve"> </w:t>
      </w:r>
      <w:r w:rsidR="00422BF0">
        <w:rPr>
          <w:rFonts w:ascii="Palatino Linotype" w:eastAsia="Calibri" w:hAnsi="Palatino Linotype" w:cs="Arial"/>
          <w:sz w:val="24"/>
          <w:szCs w:val="24"/>
        </w:rPr>
        <w:t>e</w:t>
      </w:r>
      <w:r w:rsidR="00691120">
        <w:rPr>
          <w:rFonts w:ascii="Palatino Linotype" w:eastAsia="Calibri" w:hAnsi="Palatino Linotype" w:cs="Arial"/>
          <w:sz w:val="24"/>
          <w:szCs w:val="24"/>
        </w:rPr>
        <w:t>l</w:t>
      </w:r>
      <w:r w:rsidR="00540F48" w:rsidRPr="00540F48">
        <w:t xml:space="preserve"> </w:t>
      </w:r>
      <w:r w:rsidR="00540F48" w:rsidRPr="00540F48">
        <w:rPr>
          <w:rFonts w:ascii="Palatino Linotype" w:eastAsia="Calibri" w:hAnsi="Palatino Linotype" w:cs="Arial"/>
          <w:b/>
          <w:sz w:val="24"/>
          <w:szCs w:val="24"/>
        </w:rPr>
        <w:t>Ayuntamiento de Cuautitlán</w:t>
      </w:r>
      <w:r w:rsidR="003B6B7C">
        <w:rPr>
          <w:rFonts w:ascii="Palatino Linotype" w:hAnsi="Palatino Linotype" w:cs="Arial"/>
          <w:b/>
          <w:sz w:val="24"/>
          <w:szCs w:val="24"/>
        </w:rPr>
        <w:t xml:space="preserve">, </w:t>
      </w:r>
      <w:r w:rsidR="00466F4A">
        <w:rPr>
          <w:rFonts w:ascii="Palatino Linotype" w:eastAsia="Calibri" w:hAnsi="Palatino Linotype" w:cs="Times New Roman"/>
          <w:sz w:val="24"/>
          <w:szCs w:val="24"/>
        </w:rPr>
        <w:t>en dicha</w:t>
      </w:r>
      <w:r w:rsidR="005C0258">
        <w:rPr>
          <w:rFonts w:ascii="Palatino Linotype" w:eastAsia="Calibri" w:hAnsi="Palatino Linotype" w:cs="Times New Roman"/>
          <w:sz w:val="24"/>
          <w:szCs w:val="24"/>
        </w:rPr>
        <w:t xml:space="preserve">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6F081D" w:rsidRPr="006F081D">
        <w:rPr>
          <w:rFonts w:ascii="Palatino Linotype" w:hAnsi="Palatino Linotype"/>
          <w:i/>
          <w:lang w:val="es-ES_tradnl"/>
        </w:rPr>
        <w:t xml:space="preserve"> </w:t>
      </w:r>
    </w:p>
    <w:p w:rsidR="00422BF0" w:rsidRDefault="00C80923" w:rsidP="00930786">
      <w:pPr>
        <w:spacing w:line="360" w:lineRule="auto"/>
        <w:ind w:left="851" w:right="850"/>
        <w:jc w:val="both"/>
        <w:rPr>
          <w:rFonts w:ascii="Palatino Linotype" w:eastAsia="Times New Roman" w:hAnsi="Palatino Linotype" w:cs="Times New Roman"/>
          <w:i/>
          <w:lang w:val="es-ES_tradnl" w:eastAsia="es-ES"/>
        </w:rPr>
      </w:pPr>
      <w:r w:rsidRPr="002A46E0">
        <w:rPr>
          <w:rFonts w:ascii="Palatino Linotype" w:hAnsi="Palatino Linotype" w:cs="Tahoma"/>
          <w:bCs/>
        </w:rPr>
        <w:t xml:space="preserve">por este medio solicito la información relativa a la adjudicación (directa, invitación restringida y/o licitación pública) llevada a cabo con los </w:t>
      </w:r>
      <w:r w:rsidRPr="002A46E0">
        <w:rPr>
          <w:rFonts w:ascii="Palatino Linotype" w:hAnsi="Palatino Linotype" w:cs="Tahoma"/>
          <w:bCs/>
        </w:rPr>
        <w:lastRenderedPageBreak/>
        <w:t>recursos del FORTASEG 2018, específicamente en lo que les fue aprobado en el Eje Estratégico "Prevención Social de la Violencia y la Delincuencia con Participación Ciudadana" publicado mediante el "Anexo Técnico del Convenio Específico de Adhesión para el otorgamiento del FORTASEG", de fecha 14 de febrero de 2018, dicha información debe ser conforme a las documentales señaladas en el artículo 92 fracción XXIX inciso a) en sus numerales del 1 al 14 de la Ley de Transparencia y Acceso a la Información Pública del Estado de México y Municipios, o en su caso, si fue adjudicación directa con lo que respecta el inciso b) de la ley referida.” (</w:t>
      </w:r>
      <w:r w:rsidRPr="002A46E0">
        <w:rPr>
          <w:rFonts w:ascii="Palatino Linotype" w:hAnsi="Palatino Linotype" w:cs="Tahoma"/>
          <w:bCs/>
          <w:i/>
        </w:rPr>
        <w:t>Sic.</w:t>
      </w:r>
      <w:r w:rsidRPr="002A46E0">
        <w:rPr>
          <w:rFonts w:ascii="Palatino Linotype" w:hAnsi="Palatino Linotype" w:cs="Tahoma"/>
          <w:bCs/>
        </w:rPr>
        <w:t>)</w:t>
      </w:r>
    </w:p>
    <w:p w:rsidR="000E4D6E" w:rsidRPr="00B821C2" w:rsidRDefault="00E6179D" w:rsidP="004278C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B821C2">
        <w:rPr>
          <w:rFonts w:ascii="Palatino Linotype" w:eastAsia="Calibri" w:hAnsi="Palatino Linotype" w:cs="Arial"/>
          <w:sz w:val="24"/>
          <w:szCs w:val="24"/>
        </w:rPr>
        <w:t xml:space="preserve">Bajo esas consideraciones la Ponencia </w:t>
      </w:r>
      <w:r w:rsidR="00FD1FAD" w:rsidRPr="00B821C2">
        <w:rPr>
          <w:rFonts w:ascii="Palatino Linotype" w:eastAsia="Calibri" w:hAnsi="Palatino Linotype" w:cs="Arial"/>
          <w:sz w:val="24"/>
          <w:szCs w:val="24"/>
        </w:rPr>
        <w:t>que resuelve el recurso de revisión</w:t>
      </w:r>
      <w:r w:rsidRPr="00B821C2">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B821C2">
        <w:rPr>
          <w:rFonts w:ascii="Palatino Linotype" w:eastAsia="Calibri" w:hAnsi="Palatino Linotype" w:cs="Arial"/>
          <w:sz w:val="24"/>
          <w:szCs w:val="24"/>
        </w:rPr>
        <w:t>verificar si existe fu</w:t>
      </w:r>
      <w:r w:rsidR="003E0648" w:rsidRPr="00B821C2">
        <w:rPr>
          <w:rFonts w:ascii="Palatino Linotype" w:eastAsia="Calibri" w:hAnsi="Palatino Linotype" w:cs="Arial"/>
          <w:sz w:val="24"/>
          <w:szCs w:val="24"/>
        </w:rPr>
        <w:t xml:space="preserve">ente obligacional por parte </w:t>
      </w:r>
      <w:r w:rsidR="00422BF0" w:rsidRPr="00B821C2">
        <w:rPr>
          <w:rFonts w:ascii="Palatino Linotype" w:eastAsia="Calibri" w:hAnsi="Palatino Linotype" w:cs="Arial"/>
          <w:sz w:val="24"/>
          <w:szCs w:val="24"/>
        </w:rPr>
        <w:t>de</w:t>
      </w:r>
      <w:r w:rsidR="00422BF0">
        <w:rPr>
          <w:rFonts w:ascii="Palatino Linotype" w:eastAsia="Calibri" w:hAnsi="Palatino Linotype" w:cs="Arial"/>
          <w:sz w:val="24"/>
          <w:szCs w:val="24"/>
        </w:rPr>
        <w:t>l</w:t>
      </w:r>
      <w:r w:rsidR="00C80923" w:rsidRPr="00C80923">
        <w:rPr>
          <w:rFonts w:ascii="Palatino Linotype" w:eastAsia="Calibri" w:hAnsi="Palatino Linotype" w:cs="Arial"/>
          <w:b/>
          <w:sz w:val="24"/>
          <w:szCs w:val="24"/>
        </w:rPr>
        <w:t xml:space="preserve"> </w:t>
      </w:r>
      <w:r w:rsidR="00C80923" w:rsidRPr="00540F48">
        <w:rPr>
          <w:rFonts w:ascii="Palatino Linotype" w:eastAsia="Calibri" w:hAnsi="Palatino Linotype" w:cs="Arial"/>
          <w:b/>
          <w:sz w:val="24"/>
          <w:szCs w:val="24"/>
        </w:rPr>
        <w:t>Ayuntamiento de Cuautitlán</w:t>
      </w:r>
      <w:r w:rsidR="00422BF0" w:rsidRPr="00422BF0">
        <w:rPr>
          <w:rFonts w:ascii="Palatino Linotype" w:eastAsia="Calibri" w:hAnsi="Palatino Linotype" w:cs="Arial"/>
          <w:b/>
          <w:sz w:val="24"/>
          <w:szCs w:val="24"/>
        </w:rPr>
        <w:t>,</w:t>
      </w:r>
      <w:r w:rsidR="00422BF0">
        <w:rPr>
          <w:rFonts w:ascii="Palatino Linotype" w:eastAsia="Calibri" w:hAnsi="Palatino Linotype" w:cs="Arial"/>
          <w:sz w:val="24"/>
          <w:szCs w:val="24"/>
        </w:rPr>
        <w:t xml:space="preserve"> </w:t>
      </w:r>
      <w:r w:rsidR="00C752C4" w:rsidRPr="00B821C2">
        <w:rPr>
          <w:rFonts w:ascii="Palatino Linotype" w:eastAsiaTheme="minorEastAsia" w:hAnsi="Palatino Linotype" w:cs="Arial"/>
          <w:b/>
        </w:rPr>
        <w:t xml:space="preserve"> </w:t>
      </w:r>
      <w:r w:rsidR="00FD1FAD" w:rsidRPr="00B821C2">
        <w:rPr>
          <w:rFonts w:ascii="Palatino Linotype" w:eastAsia="Calibri" w:hAnsi="Palatino Linotype" w:cs="Arial"/>
          <w:sz w:val="24"/>
          <w:szCs w:val="24"/>
        </w:rPr>
        <w:t xml:space="preserve">y así ordenar que se realice una búsqueda exhaustiva en los archivos </w:t>
      </w:r>
      <w:r w:rsidR="00B16CE1" w:rsidRPr="00B821C2">
        <w:rPr>
          <w:rFonts w:ascii="Palatino Linotype" w:eastAsia="Calibri" w:hAnsi="Palatino Linotype" w:cs="Arial"/>
          <w:sz w:val="24"/>
          <w:szCs w:val="24"/>
        </w:rPr>
        <w:t xml:space="preserve">del </w:t>
      </w:r>
      <w:r w:rsidR="00FD1FAD" w:rsidRPr="00B821C2">
        <w:rPr>
          <w:rFonts w:ascii="Palatino Linotype" w:eastAsia="Calibri" w:hAnsi="Palatino Linotype" w:cs="Arial"/>
          <w:b/>
          <w:sz w:val="24"/>
          <w:szCs w:val="24"/>
        </w:rPr>
        <w:t>SUJETO OBLIGADO</w:t>
      </w:r>
      <w:r w:rsidR="0006430D" w:rsidRPr="00B821C2">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B821C2" w:rsidRPr="00031184" w:rsidRDefault="00480F5B" w:rsidP="00B821C2">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5C253D">
        <w:rPr>
          <w:rFonts w:ascii="Palatino Linotype" w:hAnsi="Palatino Linotype" w:cs="Arial"/>
          <w:b/>
          <w:sz w:val="24"/>
          <w:szCs w:val="24"/>
        </w:rPr>
        <w:t xml:space="preserve"> a</w:t>
      </w:r>
      <w:r w:rsidR="00422BF0">
        <w:rPr>
          <w:rFonts w:ascii="Palatino Linotype" w:hAnsi="Palatino Linotype" w:cs="Arial"/>
          <w:b/>
          <w:sz w:val="24"/>
          <w:szCs w:val="24"/>
        </w:rPr>
        <w:t>l</w:t>
      </w:r>
      <w:r w:rsidR="00C80923" w:rsidRPr="00C80923">
        <w:rPr>
          <w:rFonts w:ascii="Palatino Linotype" w:eastAsia="Calibri" w:hAnsi="Palatino Linotype" w:cs="Arial"/>
          <w:b/>
          <w:sz w:val="24"/>
          <w:szCs w:val="24"/>
        </w:rPr>
        <w:t xml:space="preserve"> </w:t>
      </w:r>
      <w:r w:rsidR="00C80923" w:rsidRPr="00540F48">
        <w:rPr>
          <w:rFonts w:ascii="Palatino Linotype" w:eastAsia="Calibri" w:hAnsi="Palatino Linotype" w:cs="Arial"/>
          <w:b/>
          <w:sz w:val="24"/>
          <w:szCs w:val="24"/>
        </w:rPr>
        <w:t>Ayuntamiento de Cuautitlán</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r w:rsidR="00423C67">
        <w:rPr>
          <w:rFonts w:ascii="Palatino Linotype" w:hAnsi="Palatino Linotype" w:cs="Arial"/>
          <w:sz w:val="24"/>
          <w:lang w:eastAsia="es-MX"/>
        </w:rPr>
        <w:t xml:space="preserve"> </w:t>
      </w:r>
    </w:p>
    <w:p w:rsidR="00031184" w:rsidRPr="00031184" w:rsidRDefault="00031184" w:rsidP="00031184">
      <w:pPr>
        <w:pStyle w:val="Prrafodelista"/>
        <w:rPr>
          <w:rFonts w:ascii="Palatino Linotype" w:hAnsi="Palatino Linotype"/>
          <w:sz w:val="24"/>
          <w:szCs w:val="24"/>
        </w:rPr>
      </w:pPr>
    </w:p>
    <w:p w:rsidR="00C80923" w:rsidRDefault="00C80923" w:rsidP="00C80923">
      <w:pPr>
        <w:pStyle w:val="Prrafodelista"/>
        <w:numPr>
          <w:ilvl w:val="0"/>
          <w:numId w:val="32"/>
        </w:numPr>
        <w:spacing w:after="0" w:line="360" w:lineRule="auto"/>
        <w:ind w:right="-93"/>
        <w:jc w:val="both"/>
        <w:rPr>
          <w:rFonts w:ascii="Palatino Linotype" w:eastAsia="Calibri" w:hAnsi="Palatino Linotype" w:cs="Tahoma"/>
          <w:bCs/>
        </w:rPr>
      </w:pPr>
      <w:r>
        <w:rPr>
          <w:rFonts w:ascii="Palatino Linotype" w:eastAsia="Calibri" w:hAnsi="Palatino Linotype" w:cs="Tahoma"/>
          <w:bCs/>
        </w:rPr>
        <w:t>Licitación Pública o Invitación Restringida:</w:t>
      </w:r>
    </w:p>
    <w:p w:rsidR="00C80923" w:rsidRPr="00C97B2C" w:rsidRDefault="00C80923" w:rsidP="00C80923">
      <w:pPr>
        <w:pStyle w:val="Prrafodelista"/>
        <w:spacing w:line="360" w:lineRule="auto"/>
        <w:ind w:right="567"/>
        <w:jc w:val="both"/>
        <w:rPr>
          <w:rFonts w:ascii="Palatino Linotype" w:hAnsi="Palatino Linotype" w:cs="Tahoma"/>
        </w:rPr>
      </w:pPr>
      <w:r w:rsidRPr="00C97B2C">
        <w:rPr>
          <w:rFonts w:ascii="Palatino Linotype" w:hAnsi="Palatino Linotype" w:cs="Tahoma"/>
        </w:rPr>
        <w:lastRenderedPageBreak/>
        <w:t>1) La convocatoria o invitación emitida;</w:t>
      </w:r>
    </w:p>
    <w:p w:rsidR="00C80923" w:rsidRPr="00C97B2C" w:rsidRDefault="00C80923" w:rsidP="00C80923">
      <w:pPr>
        <w:pStyle w:val="Prrafodelista"/>
        <w:spacing w:line="360" w:lineRule="auto"/>
        <w:ind w:right="567"/>
        <w:jc w:val="both"/>
        <w:rPr>
          <w:rFonts w:ascii="Palatino Linotype" w:hAnsi="Palatino Linotype" w:cs="Tahoma"/>
        </w:rPr>
      </w:pPr>
      <w:r w:rsidRPr="00C97B2C">
        <w:rPr>
          <w:rFonts w:ascii="Palatino Linotype" w:hAnsi="Palatino Linotype" w:cs="Tahoma"/>
        </w:rPr>
        <w:t>2) Los nombres de los participantes o invitados;</w:t>
      </w:r>
    </w:p>
    <w:p w:rsidR="00C80923" w:rsidRPr="00C97B2C" w:rsidRDefault="00C80923" w:rsidP="00C80923">
      <w:pPr>
        <w:pStyle w:val="Prrafodelista"/>
        <w:spacing w:line="360" w:lineRule="auto"/>
        <w:ind w:right="567"/>
        <w:jc w:val="both"/>
        <w:rPr>
          <w:rFonts w:ascii="Palatino Linotype" w:hAnsi="Palatino Linotype" w:cs="Tahoma"/>
        </w:rPr>
      </w:pPr>
      <w:r w:rsidRPr="00C97B2C">
        <w:rPr>
          <w:rFonts w:ascii="Palatino Linotype" w:hAnsi="Palatino Linotype" w:cs="Tahoma"/>
        </w:rPr>
        <w:t>3) El nombre del ganador y las razones que lo justifican;</w:t>
      </w:r>
    </w:p>
    <w:p w:rsidR="00C80923" w:rsidRPr="00C97B2C" w:rsidRDefault="00C80923" w:rsidP="00C80923">
      <w:pPr>
        <w:pStyle w:val="Prrafodelista"/>
        <w:spacing w:line="360" w:lineRule="auto"/>
        <w:ind w:right="567"/>
        <w:jc w:val="both"/>
        <w:rPr>
          <w:rFonts w:ascii="Palatino Linotype" w:hAnsi="Palatino Linotype" w:cs="Tahoma"/>
        </w:rPr>
      </w:pPr>
      <w:r w:rsidRPr="00C97B2C">
        <w:rPr>
          <w:rFonts w:ascii="Palatino Linotype" w:hAnsi="Palatino Linotype" w:cs="Tahoma"/>
        </w:rPr>
        <w:t>4) El área solicitante y la responsable de su ejecución;</w:t>
      </w:r>
    </w:p>
    <w:p w:rsidR="00C80923" w:rsidRPr="00C97B2C" w:rsidRDefault="00C80923" w:rsidP="00C80923">
      <w:pPr>
        <w:pStyle w:val="Prrafodelista"/>
        <w:spacing w:line="360" w:lineRule="auto"/>
        <w:ind w:right="567"/>
        <w:jc w:val="both"/>
        <w:rPr>
          <w:rFonts w:ascii="Palatino Linotype" w:hAnsi="Palatino Linotype" w:cs="Tahoma"/>
        </w:rPr>
      </w:pPr>
      <w:r w:rsidRPr="00C97B2C">
        <w:rPr>
          <w:rFonts w:ascii="Palatino Linotype" w:hAnsi="Palatino Linotype" w:cs="Tahoma"/>
        </w:rPr>
        <w:t>5) Las convocatorias e invitaciones;</w:t>
      </w:r>
    </w:p>
    <w:p w:rsidR="00C80923" w:rsidRPr="00C97B2C" w:rsidRDefault="00C80923" w:rsidP="00C80923">
      <w:pPr>
        <w:pStyle w:val="Prrafodelista"/>
        <w:spacing w:line="360" w:lineRule="auto"/>
        <w:ind w:right="567"/>
        <w:jc w:val="both"/>
        <w:rPr>
          <w:rFonts w:ascii="Palatino Linotype" w:hAnsi="Palatino Linotype" w:cs="Tahoma"/>
        </w:rPr>
      </w:pPr>
      <w:r w:rsidRPr="00C97B2C">
        <w:rPr>
          <w:rFonts w:ascii="Palatino Linotype" w:hAnsi="Palatino Linotype" w:cs="Tahoma"/>
        </w:rPr>
        <w:t>6) Los dictámenes y fallo de adjudicación;</w:t>
      </w:r>
    </w:p>
    <w:p w:rsidR="00C80923" w:rsidRPr="00C97B2C" w:rsidRDefault="00C80923" w:rsidP="00C80923">
      <w:pPr>
        <w:pStyle w:val="Prrafodelista"/>
        <w:spacing w:line="360" w:lineRule="auto"/>
        <w:ind w:right="567"/>
        <w:jc w:val="both"/>
        <w:rPr>
          <w:rFonts w:ascii="Palatino Linotype" w:hAnsi="Palatino Linotype" w:cs="Tahoma"/>
        </w:rPr>
      </w:pPr>
      <w:r w:rsidRPr="00C97B2C">
        <w:rPr>
          <w:rFonts w:ascii="Palatino Linotype" w:hAnsi="Palatino Linotype" w:cs="Tahoma"/>
        </w:rPr>
        <w:t>7) El contrato y</w:t>
      </w:r>
      <w:r>
        <w:rPr>
          <w:rFonts w:ascii="Palatino Linotype" w:hAnsi="Palatino Linotype" w:cs="Tahoma"/>
        </w:rPr>
        <w:t xml:space="preserve"> </w:t>
      </w:r>
      <w:r w:rsidRPr="00C97B2C">
        <w:rPr>
          <w:rFonts w:ascii="Palatino Linotype" w:hAnsi="Palatino Linotype" w:cs="Tahoma"/>
        </w:rPr>
        <w:t>sus anexos;</w:t>
      </w:r>
    </w:p>
    <w:p w:rsidR="00C80923" w:rsidRPr="00C97B2C" w:rsidRDefault="00C80923" w:rsidP="00C80923">
      <w:pPr>
        <w:pStyle w:val="Prrafodelista"/>
        <w:spacing w:line="360" w:lineRule="auto"/>
        <w:ind w:right="567"/>
        <w:jc w:val="both"/>
        <w:rPr>
          <w:rFonts w:ascii="Palatino Linotype" w:hAnsi="Palatino Linotype" w:cs="Tahoma"/>
        </w:rPr>
      </w:pPr>
      <w:r w:rsidRPr="00C97B2C">
        <w:rPr>
          <w:rFonts w:ascii="Palatino Linotype" w:hAnsi="Palatino Linotype" w:cs="Tahoma"/>
        </w:rPr>
        <w:t>8) Los mecanismos de vigilancia y supervisión;</w:t>
      </w:r>
    </w:p>
    <w:p w:rsidR="00C80923" w:rsidRPr="00C97B2C" w:rsidRDefault="00C80923" w:rsidP="00C80923">
      <w:pPr>
        <w:pStyle w:val="Prrafodelista"/>
        <w:spacing w:line="360" w:lineRule="auto"/>
        <w:ind w:right="567"/>
        <w:jc w:val="both"/>
        <w:rPr>
          <w:rFonts w:ascii="Palatino Linotype" w:hAnsi="Palatino Linotype" w:cs="Tahoma"/>
        </w:rPr>
      </w:pPr>
      <w:r>
        <w:rPr>
          <w:rFonts w:ascii="Palatino Linotype" w:hAnsi="Palatino Linotype" w:cs="Tahoma"/>
        </w:rPr>
        <w:t>9) La partida presupuestal</w:t>
      </w:r>
      <w:r w:rsidRPr="00C97B2C">
        <w:rPr>
          <w:rFonts w:ascii="Palatino Linotype" w:hAnsi="Palatino Linotype" w:cs="Tahoma"/>
        </w:rPr>
        <w:t>;</w:t>
      </w:r>
    </w:p>
    <w:p w:rsidR="00C80923" w:rsidRPr="00C97B2C" w:rsidRDefault="00C80923" w:rsidP="00C80923">
      <w:pPr>
        <w:pStyle w:val="Prrafodelista"/>
        <w:spacing w:line="360" w:lineRule="auto"/>
        <w:ind w:right="567"/>
        <w:jc w:val="both"/>
        <w:rPr>
          <w:rFonts w:ascii="Palatino Linotype" w:hAnsi="Palatino Linotype" w:cs="Tahoma"/>
        </w:rPr>
      </w:pPr>
      <w:r>
        <w:rPr>
          <w:rFonts w:ascii="Palatino Linotype" w:hAnsi="Palatino Linotype" w:cs="Tahoma"/>
        </w:rPr>
        <w:t>10) Origen de los recursos</w:t>
      </w:r>
      <w:r w:rsidRPr="00C97B2C">
        <w:rPr>
          <w:rFonts w:ascii="Palatino Linotype" w:hAnsi="Palatino Linotype" w:cs="Tahoma"/>
        </w:rPr>
        <w:t>, así como el tipo de fondo de participación o aportación respectiva;</w:t>
      </w:r>
    </w:p>
    <w:p w:rsidR="00C80923" w:rsidRPr="00C97B2C" w:rsidRDefault="00C80923" w:rsidP="00C80923">
      <w:pPr>
        <w:pStyle w:val="Prrafodelista"/>
        <w:spacing w:line="360" w:lineRule="auto"/>
        <w:ind w:right="567"/>
        <w:jc w:val="both"/>
        <w:rPr>
          <w:rFonts w:ascii="Palatino Linotype" w:hAnsi="Palatino Linotype" w:cs="Tahoma"/>
        </w:rPr>
      </w:pPr>
      <w:r w:rsidRPr="00C97B2C">
        <w:rPr>
          <w:rFonts w:ascii="Palatino Linotype" w:hAnsi="Palatino Linotype" w:cs="Tahoma"/>
        </w:rPr>
        <w:t>11) Los convenios modificatorios;</w:t>
      </w:r>
    </w:p>
    <w:p w:rsidR="00C80923" w:rsidRPr="00C97B2C" w:rsidRDefault="00C80923" w:rsidP="00C80923">
      <w:pPr>
        <w:pStyle w:val="Prrafodelista"/>
        <w:spacing w:line="360" w:lineRule="auto"/>
        <w:ind w:right="567"/>
        <w:jc w:val="both"/>
        <w:rPr>
          <w:rFonts w:ascii="Palatino Linotype" w:hAnsi="Palatino Linotype" w:cs="Tahoma"/>
        </w:rPr>
      </w:pPr>
      <w:r w:rsidRPr="00C97B2C">
        <w:rPr>
          <w:rFonts w:ascii="Palatino Linotype" w:hAnsi="Palatino Linotype" w:cs="Tahoma"/>
        </w:rPr>
        <w:t>12) Los informes de avance físico y financiero;</w:t>
      </w:r>
    </w:p>
    <w:p w:rsidR="00C80923" w:rsidRPr="00C97B2C" w:rsidRDefault="00C80923" w:rsidP="00C80923">
      <w:pPr>
        <w:pStyle w:val="Prrafodelista"/>
        <w:spacing w:line="360" w:lineRule="auto"/>
        <w:ind w:right="567"/>
        <w:jc w:val="both"/>
        <w:rPr>
          <w:rFonts w:ascii="Palatino Linotype" w:hAnsi="Palatino Linotype" w:cs="Tahoma"/>
        </w:rPr>
      </w:pPr>
      <w:r w:rsidRPr="00C97B2C">
        <w:rPr>
          <w:rFonts w:ascii="Palatino Linotype" w:hAnsi="Palatino Linotype" w:cs="Tahoma"/>
        </w:rPr>
        <w:t>13) El convenio de terminación;</w:t>
      </w:r>
    </w:p>
    <w:p w:rsidR="00C80923" w:rsidRPr="00C97B2C" w:rsidRDefault="00C80923" w:rsidP="00C80923">
      <w:pPr>
        <w:pStyle w:val="Prrafodelista"/>
        <w:spacing w:line="360" w:lineRule="auto"/>
        <w:ind w:right="567"/>
        <w:jc w:val="both"/>
        <w:rPr>
          <w:rFonts w:ascii="Palatino Linotype" w:hAnsi="Palatino Linotype" w:cs="Tahoma"/>
        </w:rPr>
      </w:pPr>
      <w:r w:rsidRPr="00C97B2C">
        <w:rPr>
          <w:rFonts w:ascii="Palatino Linotype" w:hAnsi="Palatino Linotype" w:cs="Tahoma"/>
        </w:rPr>
        <w:t xml:space="preserve">14) El finiquito. </w:t>
      </w:r>
    </w:p>
    <w:p w:rsidR="00C80923" w:rsidRDefault="00C80923" w:rsidP="00C80923">
      <w:pPr>
        <w:pStyle w:val="Prrafodelista"/>
        <w:spacing w:line="360" w:lineRule="auto"/>
        <w:ind w:right="-93"/>
        <w:jc w:val="both"/>
        <w:rPr>
          <w:rFonts w:ascii="Palatino Linotype" w:eastAsia="Calibri" w:hAnsi="Palatino Linotype" w:cs="Tahoma"/>
          <w:bCs/>
        </w:rPr>
      </w:pPr>
    </w:p>
    <w:p w:rsidR="00C80923" w:rsidRDefault="00C80923" w:rsidP="00C80923">
      <w:pPr>
        <w:pStyle w:val="Prrafodelista"/>
        <w:numPr>
          <w:ilvl w:val="0"/>
          <w:numId w:val="32"/>
        </w:numPr>
        <w:spacing w:after="0" w:line="360" w:lineRule="auto"/>
        <w:ind w:right="-93"/>
        <w:jc w:val="both"/>
        <w:rPr>
          <w:rFonts w:ascii="Palatino Linotype" w:eastAsia="Calibri" w:hAnsi="Palatino Linotype" w:cs="Tahoma"/>
          <w:bCs/>
        </w:rPr>
      </w:pPr>
      <w:r>
        <w:rPr>
          <w:rFonts w:ascii="Palatino Linotype" w:eastAsia="Calibri" w:hAnsi="Palatino Linotype" w:cs="Tahoma"/>
          <w:bCs/>
        </w:rPr>
        <w:t>Adjudicación Directa.</w:t>
      </w:r>
    </w:p>
    <w:p w:rsidR="00C80923" w:rsidRDefault="00C80923" w:rsidP="00C80923">
      <w:pPr>
        <w:pStyle w:val="Prrafodelista"/>
        <w:spacing w:line="360" w:lineRule="auto"/>
        <w:ind w:right="-93"/>
        <w:jc w:val="both"/>
        <w:rPr>
          <w:rFonts w:ascii="Palatino Linotype" w:eastAsia="Calibri" w:hAnsi="Palatino Linotype" w:cs="Tahoma"/>
          <w:bCs/>
        </w:rPr>
      </w:pPr>
    </w:p>
    <w:p w:rsidR="00C80923" w:rsidRPr="00C97B2C" w:rsidRDefault="00C80923" w:rsidP="00C80923">
      <w:pPr>
        <w:pStyle w:val="Prrafodelista"/>
        <w:spacing w:line="360" w:lineRule="auto"/>
        <w:ind w:right="567"/>
        <w:jc w:val="both"/>
        <w:rPr>
          <w:rFonts w:ascii="Palatino Linotype" w:hAnsi="Palatino Linotype" w:cs="Tahoma"/>
        </w:rPr>
      </w:pPr>
      <w:r w:rsidRPr="00C97B2C">
        <w:rPr>
          <w:rFonts w:ascii="Palatino Linotype" w:hAnsi="Palatino Linotype" w:cs="Tahoma"/>
        </w:rPr>
        <w:t xml:space="preserve">1) La propuesta enviada por el participante; </w:t>
      </w:r>
    </w:p>
    <w:p w:rsidR="00C80923" w:rsidRPr="00C97B2C" w:rsidRDefault="00C80923" w:rsidP="00C80923">
      <w:pPr>
        <w:pStyle w:val="Prrafodelista"/>
        <w:spacing w:line="360" w:lineRule="auto"/>
        <w:ind w:right="567"/>
        <w:jc w:val="both"/>
        <w:rPr>
          <w:rFonts w:ascii="Palatino Linotype" w:hAnsi="Palatino Linotype" w:cs="Tahoma"/>
        </w:rPr>
      </w:pPr>
      <w:r w:rsidRPr="00C97B2C">
        <w:rPr>
          <w:rFonts w:ascii="Palatino Linotype" w:hAnsi="Palatino Linotype" w:cs="Tahoma"/>
        </w:rPr>
        <w:t xml:space="preserve">2) Los motivos y fundamentos legales aplicados para llevarla a cabo; </w:t>
      </w:r>
    </w:p>
    <w:p w:rsidR="00C80923" w:rsidRPr="00C97B2C" w:rsidRDefault="00C80923" w:rsidP="00C80923">
      <w:pPr>
        <w:pStyle w:val="Prrafodelista"/>
        <w:spacing w:line="360" w:lineRule="auto"/>
        <w:ind w:right="567"/>
        <w:jc w:val="both"/>
        <w:rPr>
          <w:rFonts w:ascii="Palatino Linotype" w:hAnsi="Palatino Linotype" w:cs="Tahoma"/>
        </w:rPr>
      </w:pPr>
      <w:r w:rsidRPr="00C97B2C">
        <w:rPr>
          <w:rFonts w:ascii="Palatino Linotype" w:hAnsi="Palatino Linotype" w:cs="Tahoma"/>
        </w:rPr>
        <w:t xml:space="preserve">3) La autorización; </w:t>
      </w:r>
    </w:p>
    <w:p w:rsidR="00C80923" w:rsidRPr="00C97B2C" w:rsidRDefault="00C80923" w:rsidP="00C80923">
      <w:pPr>
        <w:pStyle w:val="Prrafodelista"/>
        <w:spacing w:line="360" w:lineRule="auto"/>
        <w:ind w:right="567"/>
        <w:jc w:val="both"/>
        <w:rPr>
          <w:rFonts w:ascii="Palatino Linotype" w:hAnsi="Palatino Linotype" w:cs="Tahoma"/>
        </w:rPr>
      </w:pPr>
      <w:r>
        <w:rPr>
          <w:rFonts w:ascii="Palatino Linotype" w:hAnsi="Palatino Linotype" w:cs="Tahoma"/>
        </w:rPr>
        <w:t>4) L</w:t>
      </w:r>
      <w:r w:rsidRPr="00C97B2C">
        <w:rPr>
          <w:rFonts w:ascii="Palatino Linotype" w:hAnsi="Palatino Linotype" w:cs="Tahoma"/>
        </w:rPr>
        <w:t>as cotizaciones consideradas</w:t>
      </w:r>
      <w:r>
        <w:rPr>
          <w:rFonts w:ascii="Palatino Linotype" w:hAnsi="Palatino Linotype" w:cs="Tahoma"/>
        </w:rPr>
        <w:t>;</w:t>
      </w:r>
      <w:r w:rsidRPr="00C97B2C">
        <w:rPr>
          <w:rFonts w:ascii="Palatino Linotype" w:hAnsi="Palatino Linotype" w:cs="Tahoma"/>
        </w:rPr>
        <w:t xml:space="preserve"> </w:t>
      </w:r>
    </w:p>
    <w:p w:rsidR="00C80923" w:rsidRPr="00C97B2C" w:rsidRDefault="00C80923" w:rsidP="00C80923">
      <w:pPr>
        <w:pStyle w:val="Prrafodelista"/>
        <w:spacing w:line="360" w:lineRule="auto"/>
        <w:ind w:right="567"/>
        <w:jc w:val="both"/>
        <w:rPr>
          <w:rFonts w:ascii="Palatino Linotype" w:hAnsi="Palatino Linotype" w:cs="Tahoma"/>
        </w:rPr>
      </w:pPr>
      <w:r w:rsidRPr="00C97B2C">
        <w:rPr>
          <w:rFonts w:ascii="Palatino Linotype" w:hAnsi="Palatino Linotype" w:cs="Tahoma"/>
        </w:rPr>
        <w:t xml:space="preserve">5) El nombre de la persona física o jurídica colectiva adjudicada; </w:t>
      </w:r>
    </w:p>
    <w:p w:rsidR="00C80923" w:rsidRPr="00C97B2C" w:rsidRDefault="00C80923" w:rsidP="00C80923">
      <w:pPr>
        <w:pStyle w:val="Prrafodelista"/>
        <w:spacing w:line="360" w:lineRule="auto"/>
        <w:ind w:right="567"/>
        <w:jc w:val="both"/>
        <w:rPr>
          <w:rFonts w:ascii="Palatino Linotype" w:hAnsi="Palatino Linotype" w:cs="Tahoma"/>
        </w:rPr>
      </w:pPr>
      <w:r w:rsidRPr="00C97B2C">
        <w:rPr>
          <w:rFonts w:ascii="Palatino Linotype" w:hAnsi="Palatino Linotype" w:cs="Tahoma"/>
        </w:rPr>
        <w:t xml:space="preserve">6) La unidad administrativa solicitante y la responsable de su ejecución; </w:t>
      </w:r>
    </w:p>
    <w:p w:rsidR="00C80923" w:rsidRPr="00C97B2C" w:rsidRDefault="00C80923" w:rsidP="00C80923">
      <w:pPr>
        <w:pStyle w:val="Prrafodelista"/>
        <w:spacing w:line="360" w:lineRule="auto"/>
        <w:ind w:right="567"/>
        <w:jc w:val="both"/>
        <w:rPr>
          <w:rFonts w:ascii="Palatino Linotype" w:hAnsi="Palatino Linotype" w:cs="Tahoma"/>
        </w:rPr>
      </w:pPr>
      <w:r w:rsidRPr="00C97B2C">
        <w:rPr>
          <w:rFonts w:ascii="Palatino Linotype" w:hAnsi="Palatino Linotype" w:cs="Tahoma"/>
        </w:rPr>
        <w:lastRenderedPageBreak/>
        <w:t xml:space="preserve">7) El número, fecha, el monto del contrato y el plazo de entrega o de ejecución de los servicios u obra; </w:t>
      </w:r>
    </w:p>
    <w:p w:rsidR="00C80923" w:rsidRPr="00C97B2C" w:rsidRDefault="00C80923" w:rsidP="00C80923">
      <w:pPr>
        <w:pStyle w:val="Prrafodelista"/>
        <w:spacing w:line="360" w:lineRule="auto"/>
        <w:ind w:right="567"/>
        <w:jc w:val="both"/>
        <w:rPr>
          <w:rFonts w:ascii="Palatino Linotype" w:hAnsi="Palatino Linotype" w:cs="Tahoma"/>
        </w:rPr>
      </w:pPr>
      <w:r w:rsidRPr="00C97B2C">
        <w:rPr>
          <w:rFonts w:ascii="Palatino Linotype" w:hAnsi="Palatino Linotype" w:cs="Tahoma"/>
        </w:rPr>
        <w:t xml:space="preserve">8) Los mecanismos de vigilancia y supervisión; </w:t>
      </w:r>
    </w:p>
    <w:p w:rsidR="00C80923" w:rsidRPr="00C97B2C" w:rsidRDefault="00C80923" w:rsidP="00C80923">
      <w:pPr>
        <w:pStyle w:val="Prrafodelista"/>
        <w:spacing w:line="360" w:lineRule="auto"/>
        <w:ind w:right="567"/>
        <w:jc w:val="both"/>
        <w:rPr>
          <w:rFonts w:ascii="Palatino Linotype" w:hAnsi="Palatino Linotype" w:cs="Tahoma"/>
        </w:rPr>
      </w:pPr>
      <w:r w:rsidRPr="00C97B2C">
        <w:rPr>
          <w:rFonts w:ascii="Palatino Linotype" w:hAnsi="Palatino Linotype" w:cs="Tahoma"/>
        </w:rPr>
        <w:t xml:space="preserve">9) Los informes de avance sobre las obras o servicios contratados; </w:t>
      </w:r>
    </w:p>
    <w:p w:rsidR="00C80923" w:rsidRPr="00C97B2C" w:rsidRDefault="00C80923" w:rsidP="00C80923">
      <w:pPr>
        <w:pStyle w:val="Prrafodelista"/>
        <w:spacing w:line="360" w:lineRule="auto"/>
        <w:ind w:right="567"/>
        <w:jc w:val="both"/>
        <w:rPr>
          <w:rFonts w:ascii="Palatino Linotype" w:hAnsi="Palatino Linotype" w:cs="Tahoma"/>
        </w:rPr>
      </w:pPr>
      <w:r w:rsidRPr="00C97B2C">
        <w:rPr>
          <w:rFonts w:ascii="Palatino Linotype" w:hAnsi="Palatino Linotype" w:cs="Tahoma"/>
        </w:rPr>
        <w:t xml:space="preserve">10) El convenio de terminación; y </w:t>
      </w:r>
    </w:p>
    <w:p w:rsidR="00C80923" w:rsidRPr="00C97B2C" w:rsidRDefault="00C80923" w:rsidP="00C80923">
      <w:pPr>
        <w:pStyle w:val="Prrafodelista"/>
        <w:spacing w:line="360" w:lineRule="auto"/>
        <w:ind w:right="567"/>
        <w:jc w:val="both"/>
        <w:rPr>
          <w:rFonts w:ascii="Palatino Linotype" w:hAnsi="Palatino Linotype" w:cs="Tahoma"/>
        </w:rPr>
      </w:pPr>
      <w:r w:rsidRPr="00C97B2C">
        <w:rPr>
          <w:rFonts w:ascii="Palatino Linotype" w:hAnsi="Palatino Linotype" w:cs="Tahoma"/>
        </w:rPr>
        <w:t>11) El finiquito.</w:t>
      </w:r>
    </w:p>
    <w:p w:rsidR="00C80923" w:rsidRDefault="00C80923" w:rsidP="00C80923">
      <w:pPr>
        <w:spacing w:line="360" w:lineRule="auto"/>
        <w:ind w:right="-93"/>
        <w:jc w:val="both"/>
        <w:rPr>
          <w:rFonts w:ascii="Palatino Linotype" w:eastAsia="Calibri" w:hAnsi="Palatino Linotype" w:cs="Tahoma"/>
          <w:bCs/>
        </w:rPr>
      </w:pPr>
    </w:p>
    <w:p w:rsidR="00C80923" w:rsidRDefault="00C80923" w:rsidP="00C80923">
      <w:pPr>
        <w:spacing w:line="360" w:lineRule="auto"/>
        <w:ind w:right="-93"/>
        <w:jc w:val="both"/>
        <w:rPr>
          <w:rFonts w:ascii="Palatino Linotype" w:eastAsia="Calibri" w:hAnsi="Palatino Linotype" w:cs="Tahoma"/>
          <w:bCs/>
        </w:rPr>
      </w:pPr>
      <w:r w:rsidRPr="00A118F5">
        <w:rPr>
          <w:rFonts w:ascii="Palatino Linotype" w:eastAsia="Calibri" w:hAnsi="Palatino Linotype" w:cs="Tahoma"/>
          <w:bCs/>
        </w:rPr>
        <w:t>En el caso de que los documentos localizados, contengan datos o información clasificable</w:t>
      </w:r>
      <w:r w:rsidRPr="009049B2">
        <w:rPr>
          <w:rFonts w:ascii="Palatino Linotype" w:eastAsia="Calibri" w:hAnsi="Palatino Linotype" w:cs="Tahoma"/>
          <w:bCs/>
        </w:rPr>
        <w:t>, en términos de los artículos 140 y 143, de la Ley de la materia, el Sujeto Obligado deberá elaborar las versiones públicas respectivas</w:t>
      </w:r>
      <w:r>
        <w:rPr>
          <w:rFonts w:ascii="Palatino Linotype" w:eastAsia="Calibri" w:hAnsi="Palatino Linotype" w:cs="Tahoma"/>
          <w:bCs/>
        </w:rPr>
        <w:t>.</w:t>
      </w:r>
      <w:r w:rsidRPr="009049B2">
        <w:rPr>
          <w:rFonts w:ascii="Palatino Linotype" w:eastAsia="Calibri" w:hAnsi="Palatino Linotype" w:cs="Tahoma"/>
          <w:bCs/>
        </w:rPr>
        <w:t xml:space="preserve"> En ese tenor, deberá emitir y entregar la resolución de su Comité de Transparencia, en donde, de manera fundada y motivad</w:t>
      </w:r>
      <w:r>
        <w:rPr>
          <w:rFonts w:ascii="Palatino Linotype" w:eastAsia="Calibri" w:hAnsi="Palatino Linotype" w:cs="Tahoma"/>
          <w:bCs/>
        </w:rPr>
        <w:t>a, confirme dicha clasificación.</w:t>
      </w:r>
    </w:p>
    <w:p w:rsidR="00C80923" w:rsidRDefault="00C80923" w:rsidP="00C80923">
      <w:pPr>
        <w:spacing w:line="360" w:lineRule="auto"/>
        <w:ind w:right="-93"/>
        <w:jc w:val="both"/>
        <w:rPr>
          <w:rFonts w:ascii="Palatino Linotype" w:eastAsia="Calibri" w:hAnsi="Palatino Linotype" w:cs="Tahoma"/>
          <w:bCs/>
        </w:rPr>
      </w:pPr>
    </w:p>
    <w:p w:rsidR="00C80923" w:rsidRPr="009049B2" w:rsidRDefault="00C80923" w:rsidP="00C80923">
      <w:pPr>
        <w:spacing w:line="360" w:lineRule="auto"/>
        <w:ind w:right="-93"/>
        <w:jc w:val="both"/>
        <w:rPr>
          <w:rFonts w:ascii="Palatino Linotype" w:eastAsia="Calibri" w:hAnsi="Palatino Linotype" w:cs="Tahoma"/>
          <w:bCs/>
        </w:rPr>
      </w:pPr>
      <w:r>
        <w:rPr>
          <w:rFonts w:ascii="Palatino Linotype" w:eastAsia="Calibri" w:hAnsi="Palatino Linotype" w:cs="Tahoma"/>
          <w:bCs/>
        </w:rPr>
        <w:t>Por otra parte, en el caso de que alguno de los documentos no hayan sido generados o elaborados al treinta de agosto de dos mil dieciocho (fecha de la solicitud), bastará con que lo haga del conocimiento al Recurrente al momento de dar cumplimiento a la presente Resolución.</w:t>
      </w:r>
    </w:p>
    <w:p w:rsidR="00691120" w:rsidRPr="006D3CE1" w:rsidRDefault="00691120" w:rsidP="00691120">
      <w:pPr>
        <w:pStyle w:val="Prrafodelista"/>
        <w:spacing w:before="120" w:after="120" w:line="360" w:lineRule="auto"/>
        <w:ind w:left="0" w:right="49"/>
        <w:jc w:val="both"/>
        <w:rPr>
          <w:rFonts w:ascii="Palatino Linotype" w:hAnsi="Palatino Linotype"/>
          <w:sz w:val="24"/>
          <w:szCs w:val="24"/>
        </w:rPr>
      </w:pPr>
    </w:p>
    <w:p w:rsidR="005C253D" w:rsidRPr="00CD270D" w:rsidRDefault="00594E5C" w:rsidP="005C253D">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Sin embargo esta ponencia observó que la resolución puntualmente indica lo </w:t>
      </w:r>
      <w:r w:rsidRPr="002A071E">
        <w:rPr>
          <w:rFonts w:ascii="Palatino Linotype" w:eastAsia="Times New Roman" w:hAnsi="Palatino Linotype" w:cs="Arial"/>
          <w:sz w:val="24"/>
        </w:rPr>
        <w:t>siguiente</w:t>
      </w:r>
      <w:r w:rsidR="00434E1A" w:rsidRPr="002A071E">
        <w:rPr>
          <w:rFonts w:ascii="Palatino Linotype" w:eastAsia="Times New Roman" w:hAnsi="Palatino Linotype" w:cs="Arial"/>
          <w:sz w:val="24"/>
        </w:rPr>
        <w:t xml:space="preserve"> respecto </w:t>
      </w:r>
      <w:r w:rsidR="00F67DF2" w:rsidRPr="002A071E">
        <w:rPr>
          <w:rFonts w:ascii="Palatino Linotype" w:eastAsia="Times New Roman" w:hAnsi="Palatino Linotype" w:cs="Arial"/>
          <w:sz w:val="24"/>
        </w:rPr>
        <w:t xml:space="preserve"> </w:t>
      </w:r>
      <w:r w:rsidR="006E5F97">
        <w:rPr>
          <w:rFonts w:ascii="Palatino Linotype" w:eastAsia="Times New Roman" w:hAnsi="Palatino Linotype" w:cs="Arial"/>
          <w:sz w:val="24"/>
        </w:rPr>
        <w:t>a</w:t>
      </w:r>
      <w:r w:rsidR="00CD270D">
        <w:rPr>
          <w:rFonts w:ascii="Palatino Linotype" w:eastAsia="Times New Roman" w:hAnsi="Palatino Linotype" w:cs="Arial"/>
          <w:sz w:val="24"/>
        </w:rPr>
        <w:t xml:space="preserve"> </w:t>
      </w:r>
      <w:r w:rsidR="00C80923">
        <w:rPr>
          <w:rFonts w:ascii="Palatino Linotype" w:eastAsia="Times New Roman" w:hAnsi="Palatino Linotype" w:cs="Arial"/>
          <w:sz w:val="24"/>
        </w:rPr>
        <w:t xml:space="preserve"> la información solicitada</w:t>
      </w:r>
      <w:r w:rsidR="002A071E" w:rsidRPr="002A071E">
        <w:rPr>
          <w:rFonts w:ascii="Palatino Linotype" w:eastAsia="Times New Roman" w:hAnsi="Palatino Linotype" w:cs="Arial"/>
          <w:sz w:val="24"/>
        </w:rPr>
        <w:t xml:space="preserve">: </w:t>
      </w:r>
    </w:p>
    <w:p w:rsidR="00CD270D" w:rsidRDefault="00C80923" w:rsidP="00CD270D">
      <w:pPr>
        <w:pStyle w:val="Prrafodelista"/>
        <w:spacing w:before="240" w:after="240" w:line="360" w:lineRule="auto"/>
        <w:ind w:left="0" w:right="49"/>
        <w:jc w:val="both"/>
        <w:rPr>
          <w:rFonts w:ascii="Palatino Linotype" w:eastAsia="Times New Roman" w:hAnsi="Palatino Linotype" w:cs="Arial"/>
          <w:i/>
          <w:sz w:val="24"/>
        </w:rPr>
      </w:pPr>
      <w:r>
        <w:rPr>
          <w:rFonts w:ascii="Palatino Linotype" w:eastAsia="Calibri" w:hAnsi="Palatino Linotype" w:cs="Tahoma"/>
          <w:bCs/>
        </w:rPr>
        <w:t xml:space="preserve">Por otra parte, en el caso de que alguno de los documentos no hayan sido generados o elaborados al treinta de agosto de dos mil dieciocho (fecha de la solicitud), bastará con que </w:t>
      </w:r>
      <w:r>
        <w:rPr>
          <w:rFonts w:ascii="Palatino Linotype" w:eastAsia="Calibri" w:hAnsi="Palatino Linotype" w:cs="Tahoma"/>
          <w:bCs/>
        </w:rPr>
        <w:lastRenderedPageBreak/>
        <w:t>lo haga del conocimiento al Recurrente al momento de dar cumplimiento a la presente Resolución</w:t>
      </w:r>
    </w:p>
    <w:p w:rsidR="00422BF0" w:rsidRDefault="00422BF0" w:rsidP="005C253D">
      <w:pPr>
        <w:pStyle w:val="Prrafodelista"/>
        <w:spacing w:before="240" w:after="240" w:line="360" w:lineRule="auto"/>
        <w:ind w:left="0" w:right="49"/>
        <w:jc w:val="both"/>
        <w:rPr>
          <w:rFonts w:ascii="Palatino Linotype" w:eastAsia="Times New Roman" w:hAnsi="Palatino Linotype" w:cs="Arial"/>
          <w:i/>
          <w:sz w:val="24"/>
        </w:rPr>
      </w:pPr>
    </w:p>
    <w:p w:rsidR="00C602B8" w:rsidRPr="005C253D" w:rsidRDefault="00594E5C" w:rsidP="005C253D">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5C253D">
        <w:rPr>
          <w:rFonts w:ascii="Palatino Linotype" w:eastAsia="Times New Roman" w:hAnsi="Palatino Linotype" w:cs="Arial"/>
          <w:sz w:val="24"/>
        </w:rPr>
        <w:t xml:space="preserve">Por esa razón, el ponente se </w:t>
      </w:r>
      <w:r w:rsidR="00C602B8" w:rsidRPr="005C253D">
        <w:rPr>
          <w:rFonts w:ascii="Palatino Linotype" w:eastAsia="Times New Roman" w:hAnsi="Palatino Linotype" w:cs="Arial"/>
          <w:sz w:val="24"/>
        </w:rPr>
        <w:t>manifestó al</w:t>
      </w:r>
      <w:r w:rsidRPr="005C253D">
        <w:rPr>
          <w:rFonts w:ascii="Palatino Linotype" w:eastAsia="Times New Roman" w:hAnsi="Palatino Linotype" w:cs="Arial"/>
          <w:sz w:val="24"/>
        </w:rPr>
        <w:t xml:space="preserve"> respecto enfatizando que en </w:t>
      </w:r>
      <w:r w:rsidR="008216B4" w:rsidRPr="005C253D">
        <w:rPr>
          <w:rFonts w:ascii="Palatino Linotype" w:eastAsia="Times New Roman" w:hAnsi="Palatino Linotype" w:cs="Arial"/>
          <w:sz w:val="24"/>
        </w:rPr>
        <w:t xml:space="preserve">el caso de que el </w:t>
      </w:r>
      <w:r w:rsidR="008216B4" w:rsidRPr="005C253D">
        <w:rPr>
          <w:rFonts w:ascii="Palatino Linotype" w:eastAsia="Times New Roman" w:hAnsi="Palatino Linotype" w:cs="Arial"/>
          <w:b/>
          <w:sz w:val="24"/>
        </w:rPr>
        <w:t xml:space="preserve">SUJETO OBLIGADO </w:t>
      </w:r>
      <w:r w:rsidR="008216B4" w:rsidRPr="005C253D">
        <w:rPr>
          <w:rFonts w:ascii="Palatino Linotype" w:eastAsia="Times New Roman" w:hAnsi="Palatino Linotype" w:cs="Arial"/>
          <w:sz w:val="24"/>
        </w:rPr>
        <w:t>no cuente con la información</w:t>
      </w:r>
      <w:r w:rsidRPr="005C253D">
        <w:rPr>
          <w:rFonts w:ascii="Palatino Linotype" w:eastAsia="Times New Roman" w:hAnsi="Palatino Linotype" w:cs="Arial"/>
          <w:sz w:val="24"/>
        </w:rPr>
        <w:t>,</w:t>
      </w:r>
      <w:r w:rsidR="008216B4" w:rsidRPr="005C253D">
        <w:rPr>
          <w:rFonts w:ascii="Palatino Linotype" w:eastAsia="Times New Roman" w:hAnsi="Palatino Linotype" w:cs="Arial"/>
          <w:sz w:val="24"/>
        </w:rPr>
        <w:t xml:space="preserve"> bastará con que se pronuncie al respecto 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2" w:name="_Toc469919070"/>
      <w:bookmarkStart w:id="3" w:name="_Toc532820543"/>
      <w:r w:rsidRPr="00427B79">
        <w:rPr>
          <w:b/>
          <w:szCs w:val="24"/>
        </w:rPr>
        <w:t>II</w:t>
      </w:r>
      <w:r w:rsidR="00680533" w:rsidRPr="00427B79">
        <w:rPr>
          <w:b/>
          <w:szCs w:val="24"/>
        </w:rPr>
        <w:t>I</w:t>
      </w:r>
      <w:r w:rsidRPr="00427B79">
        <w:rPr>
          <w:b/>
          <w:szCs w:val="24"/>
        </w:rPr>
        <w:t>. Del Derecho de Acceso a la información pública y el deber de motivar.</w:t>
      </w:r>
      <w:bookmarkEnd w:id="2"/>
      <w:bookmarkEnd w:id="3"/>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lastRenderedPageBreak/>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lastRenderedPageBreak/>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4" w:name="_Toc532820544"/>
      <w:r>
        <w:rPr>
          <w:rFonts w:eastAsia="Calibri"/>
          <w:color w:val="auto"/>
          <w:szCs w:val="24"/>
        </w:rPr>
        <w:t xml:space="preserve">IV. </w:t>
      </w:r>
      <w:r w:rsidR="00680533" w:rsidRPr="00427B79">
        <w:rPr>
          <w:rFonts w:eastAsia="Calibri"/>
          <w:color w:val="auto"/>
          <w:szCs w:val="24"/>
        </w:rPr>
        <w:t>Del Pronunciamiento simple</w:t>
      </w:r>
      <w:bookmarkEnd w:id="4"/>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w:t>
      </w:r>
      <w:r w:rsidRPr="00427B79">
        <w:rPr>
          <w:rFonts w:ascii="Palatino Linotype" w:eastAsia="Calibri" w:hAnsi="Palatino Linotype" w:cs="Arial"/>
          <w:sz w:val="24"/>
          <w:szCs w:val="24"/>
        </w:rPr>
        <w:lastRenderedPageBreak/>
        <w:t xml:space="preserve">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 xml:space="preserve">“En los casos en que ciertas facultades, competencias o </w:t>
      </w:r>
      <w:r w:rsidRPr="00427B79">
        <w:rPr>
          <w:rFonts w:ascii="Palatino Linotype" w:eastAsia="Calibri" w:hAnsi="Palatino Linotype" w:cs="Arial"/>
          <w:i/>
          <w:sz w:val="24"/>
          <w:szCs w:val="24"/>
        </w:rPr>
        <w:lastRenderedPageBreak/>
        <w:t>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lastRenderedPageBreak/>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lastRenderedPageBreak/>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483418"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483418" w:rsidRDefault="00483418" w:rsidP="00483418">
      <w:pPr>
        <w:pStyle w:val="Prrafodelista"/>
        <w:rPr>
          <w:rFonts w:ascii="Palatino Linotype" w:hAnsi="Palatino Linotype"/>
          <w:sz w:val="24"/>
          <w:szCs w:val="24"/>
        </w:rPr>
      </w:pPr>
    </w:p>
    <w:p w:rsidR="00483418" w:rsidRPr="00D10121" w:rsidRDefault="00483418" w:rsidP="009D4E0C">
      <w:pPr>
        <w:numPr>
          <w:ilvl w:val="0"/>
          <w:numId w:val="1"/>
        </w:numPr>
        <w:spacing w:after="0" w:line="360" w:lineRule="auto"/>
        <w:ind w:left="0" w:firstLine="0"/>
        <w:contextualSpacing/>
        <w:jc w:val="both"/>
        <w:rPr>
          <w:rFonts w:ascii="Palatino Linotype" w:hAnsi="Palatino Linotype"/>
          <w:sz w:val="24"/>
          <w:szCs w:val="24"/>
        </w:rPr>
      </w:pPr>
      <w:r w:rsidRPr="00D10121">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w:t>
      </w:r>
      <w:r w:rsidRPr="00D10121">
        <w:rPr>
          <w:rFonts w:ascii="Palatino Linotype" w:hAnsi="Palatino Linotype"/>
          <w:sz w:val="24"/>
          <w:szCs w:val="24"/>
        </w:rPr>
        <w:lastRenderedPageBreak/>
        <w:t xml:space="preserve">información no exista, porque no es lo mismo, no generarla a no tenerla, por no localizarla, lo cual solo reflejaría una mala gestión documental. </w:t>
      </w:r>
    </w:p>
    <w:p w:rsidR="00E6179D" w:rsidRPr="0083488C" w:rsidRDefault="00CD53CB" w:rsidP="00CD53CB">
      <w:pPr>
        <w:pStyle w:val="Ttulo1"/>
        <w:rPr>
          <w:rFonts w:eastAsia="Calibri"/>
          <w:szCs w:val="24"/>
        </w:rPr>
      </w:pPr>
      <w:bookmarkStart w:id="5" w:name="_Toc532820545"/>
      <w:r>
        <w:rPr>
          <w:rFonts w:eastAsia="Calibri"/>
          <w:color w:val="auto"/>
          <w:szCs w:val="24"/>
        </w:rPr>
        <w:t xml:space="preserve">V. </w:t>
      </w:r>
      <w:r w:rsidR="00E6179D" w:rsidRPr="0083488C">
        <w:rPr>
          <w:rFonts w:eastAsia="Calibri"/>
          <w:color w:val="auto"/>
          <w:szCs w:val="24"/>
        </w:rPr>
        <w:t>Conclusión.</w:t>
      </w:r>
      <w:bookmarkEnd w:id="5"/>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765F0B">
      <w:pPr>
        <w:pStyle w:val="Prrafodelista"/>
        <w:spacing w:before="240" w:after="240" w:line="240" w:lineRule="auto"/>
        <w:ind w:left="0"/>
        <w:jc w:val="both"/>
        <w:rPr>
          <w:rFonts w:ascii="Palatino Linotype" w:hAnsi="Palatino Linotype" w:cs="Arial"/>
          <w:color w:val="000000" w:themeColor="text1"/>
          <w:sz w:val="24"/>
          <w:szCs w:val="24"/>
        </w:rPr>
      </w:pPr>
    </w:p>
    <w:p w:rsidR="003855C9" w:rsidRPr="00427B79" w:rsidRDefault="00C602B8" w:rsidP="00765F0B">
      <w:pPr>
        <w:tabs>
          <w:tab w:val="center" w:pos="4419"/>
          <w:tab w:val="right" w:pos="8838"/>
        </w:tabs>
        <w:spacing w:line="24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765F0B">
      <w:pPr>
        <w:spacing w:line="24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765F0B">
      <w:pPr>
        <w:spacing w:line="240" w:lineRule="auto"/>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C602B8" w:rsidRDefault="00C602B8" w:rsidP="00765F0B">
      <w:pPr>
        <w:spacing w:line="240" w:lineRule="auto"/>
        <w:rPr>
          <w:rFonts w:ascii="Palatino Linotype" w:hAnsi="Palatino Linotype"/>
          <w:color w:val="000000" w:themeColor="text1"/>
          <w:sz w:val="24"/>
          <w:szCs w:val="24"/>
        </w:rPr>
      </w:pPr>
    </w:p>
    <w:p w:rsidR="00797A31" w:rsidRPr="00765F0B" w:rsidRDefault="00A22908" w:rsidP="00765F0B">
      <w:pPr>
        <w:spacing w:line="240" w:lineRule="auto"/>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bookmarkStart w:id="6" w:name="_GoBack"/>
      <w:bookmarkEnd w:id="6"/>
    </w:p>
    <w:sectPr w:rsidR="00797A31" w:rsidRPr="00765F0B"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81C" w:rsidRDefault="00FB681C" w:rsidP="00E82D3D">
      <w:pPr>
        <w:spacing w:after="0" w:line="240" w:lineRule="auto"/>
      </w:pPr>
      <w:r>
        <w:separator/>
      </w:r>
    </w:p>
  </w:endnote>
  <w:endnote w:type="continuationSeparator" w:id="0">
    <w:p w:rsidR="00FB681C" w:rsidRDefault="00FB681C"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066EC">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066EC">
              <w:rPr>
                <w:b/>
                <w:bCs/>
                <w:noProof/>
              </w:rPr>
              <w:t>19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81C" w:rsidRDefault="00FB681C" w:rsidP="00E82D3D">
      <w:pPr>
        <w:spacing w:after="0" w:line="240" w:lineRule="auto"/>
      </w:pPr>
      <w:r>
        <w:separator/>
      </w:r>
    </w:p>
  </w:footnote>
  <w:footnote w:type="continuationSeparator" w:id="0">
    <w:p w:rsidR="00FB681C" w:rsidRDefault="00FB681C"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9066E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9066E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9066E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8E0A53"/>
    <w:multiLevelType w:val="hybridMultilevel"/>
    <w:tmpl w:val="720E1662"/>
    <w:lvl w:ilvl="0" w:tplc="FE8845EE">
      <w:start w:val="1"/>
      <w:numFmt w:val="lowerRoman"/>
      <w:lvlText w:val="%1)"/>
      <w:lvlJc w:val="left"/>
      <w:pPr>
        <w:ind w:left="1068" w:hanging="360"/>
      </w:pPr>
      <w:rPr>
        <w:rFonts w:ascii="Palatino Linotype" w:eastAsia="Times New Roman" w:hAnsi="Palatino Linotype" w:cs="Times New Roman"/>
        <w:b/>
        <w:color w:val="auto"/>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A73666"/>
    <w:multiLevelType w:val="hybridMultilevel"/>
    <w:tmpl w:val="5234EB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04C7325"/>
    <w:multiLevelType w:val="hybridMultilevel"/>
    <w:tmpl w:val="3BC6AE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6">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B1F0736"/>
    <w:multiLevelType w:val="hybridMultilevel"/>
    <w:tmpl w:val="D7CAE934"/>
    <w:lvl w:ilvl="0" w:tplc="1FE04B9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5">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23"/>
  </w:num>
  <w:num w:numId="3">
    <w:abstractNumId w:val="3"/>
  </w:num>
  <w:num w:numId="4">
    <w:abstractNumId w:val="28"/>
  </w:num>
  <w:num w:numId="5">
    <w:abstractNumId w:val="0"/>
  </w:num>
  <w:num w:numId="6">
    <w:abstractNumId w:val="1"/>
  </w:num>
  <w:num w:numId="7">
    <w:abstractNumId w:val="13"/>
  </w:num>
  <w:num w:numId="8">
    <w:abstractNumId w:val="16"/>
  </w:num>
  <w:num w:numId="9">
    <w:abstractNumId w:val="25"/>
  </w:num>
  <w:num w:numId="10">
    <w:abstractNumId w:val="15"/>
  </w:num>
  <w:num w:numId="11">
    <w:abstractNumId w:val="19"/>
  </w:num>
  <w:num w:numId="12">
    <w:abstractNumId w:val="8"/>
  </w:num>
  <w:num w:numId="13">
    <w:abstractNumId w:val="30"/>
  </w:num>
  <w:num w:numId="14">
    <w:abstractNumId w:val="29"/>
  </w:num>
  <w:num w:numId="15">
    <w:abstractNumId w:val="2"/>
  </w:num>
  <w:num w:numId="16">
    <w:abstractNumId w:val="12"/>
  </w:num>
  <w:num w:numId="17">
    <w:abstractNumId w:val="7"/>
  </w:num>
  <w:num w:numId="18">
    <w:abstractNumId w:val="10"/>
  </w:num>
  <w:num w:numId="19">
    <w:abstractNumId w:val="18"/>
  </w:num>
  <w:num w:numId="20">
    <w:abstractNumId w:val="6"/>
  </w:num>
  <w:num w:numId="21">
    <w:abstractNumId w:val="11"/>
  </w:num>
  <w:num w:numId="22">
    <w:abstractNumId w:val="26"/>
  </w:num>
  <w:num w:numId="23">
    <w:abstractNumId w:val="17"/>
  </w:num>
  <w:num w:numId="24">
    <w:abstractNumId w:val="4"/>
  </w:num>
  <w:num w:numId="25">
    <w:abstractNumId w:val="27"/>
  </w:num>
  <w:num w:numId="26">
    <w:abstractNumId w:val="20"/>
  </w:num>
  <w:num w:numId="27">
    <w:abstractNumId w:val="24"/>
  </w:num>
  <w:num w:numId="28">
    <w:abstractNumId w:val="14"/>
  </w:num>
  <w:num w:numId="29">
    <w:abstractNumId w:val="31"/>
  </w:num>
  <w:num w:numId="30">
    <w:abstractNumId w:val="9"/>
  </w:num>
  <w:num w:numId="31">
    <w:abstractNumId w:val="5"/>
  </w:num>
  <w:num w:numId="32">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31FD"/>
    <w:rsid w:val="00025E0E"/>
    <w:rsid w:val="0002788B"/>
    <w:rsid w:val="00031184"/>
    <w:rsid w:val="00033837"/>
    <w:rsid w:val="000354F0"/>
    <w:rsid w:val="0003648B"/>
    <w:rsid w:val="00047D47"/>
    <w:rsid w:val="00050071"/>
    <w:rsid w:val="00051010"/>
    <w:rsid w:val="0006430D"/>
    <w:rsid w:val="00064C24"/>
    <w:rsid w:val="00064C7C"/>
    <w:rsid w:val="00075BC8"/>
    <w:rsid w:val="00080138"/>
    <w:rsid w:val="00082116"/>
    <w:rsid w:val="00083196"/>
    <w:rsid w:val="0009506C"/>
    <w:rsid w:val="000957D0"/>
    <w:rsid w:val="00096CC2"/>
    <w:rsid w:val="000A17C5"/>
    <w:rsid w:val="000B09D7"/>
    <w:rsid w:val="000B2BE4"/>
    <w:rsid w:val="000C57DB"/>
    <w:rsid w:val="000C74B6"/>
    <w:rsid w:val="000D2AD4"/>
    <w:rsid w:val="000D78CD"/>
    <w:rsid w:val="000E1ACA"/>
    <w:rsid w:val="000E4D6E"/>
    <w:rsid w:val="000E55E5"/>
    <w:rsid w:val="000E694F"/>
    <w:rsid w:val="000F0970"/>
    <w:rsid w:val="000F6EC0"/>
    <w:rsid w:val="00102360"/>
    <w:rsid w:val="00113C80"/>
    <w:rsid w:val="00113E8A"/>
    <w:rsid w:val="001240A5"/>
    <w:rsid w:val="00147D04"/>
    <w:rsid w:val="0016014E"/>
    <w:rsid w:val="001604B4"/>
    <w:rsid w:val="001708DF"/>
    <w:rsid w:val="001725DC"/>
    <w:rsid w:val="001730A7"/>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2730"/>
    <w:rsid w:val="00223548"/>
    <w:rsid w:val="00224B9E"/>
    <w:rsid w:val="00230205"/>
    <w:rsid w:val="00235438"/>
    <w:rsid w:val="00240141"/>
    <w:rsid w:val="00241D8A"/>
    <w:rsid w:val="00245E34"/>
    <w:rsid w:val="00252BB6"/>
    <w:rsid w:val="00256514"/>
    <w:rsid w:val="002573C4"/>
    <w:rsid w:val="002609E4"/>
    <w:rsid w:val="002643E6"/>
    <w:rsid w:val="00265FB2"/>
    <w:rsid w:val="00270126"/>
    <w:rsid w:val="00273862"/>
    <w:rsid w:val="002A071E"/>
    <w:rsid w:val="002A2E8D"/>
    <w:rsid w:val="002A3111"/>
    <w:rsid w:val="002B1EA1"/>
    <w:rsid w:val="002B1FE5"/>
    <w:rsid w:val="002B30C5"/>
    <w:rsid w:val="002C0B0D"/>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479"/>
    <w:rsid w:val="003A4962"/>
    <w:rsid w:val="003B6B7C"/>
    <w:rsid w:val="003C19DC"/>
    <w:rsid w:val="003C37C6"/>
    <w:rsid w:val="003C7F8A"/>
    <w:rsid w:val="003D41BA"/>
    <w:rsid w:val="003D7278"/>
    <w:rsid w:val="003E0648"/>
    <w:rsid w:val="003F0FAA"/>
    <w:rsid w:val="003F1617"/>
    <w:rsid w:val="00401477"/>
    <w:rsid w:val="00410B42"/>
    <w:rsid w:val="0041189B"/>
    <w:rsid w:val="00421B1A"/>
    <w:rsid w:val="00422BF0"/>
    <w:rsid w:val="00423C67"/>
    <w:rsid w:val="004278CD"/>
    <w:rsid w:val="00427B43"/>
    <w:rsid w:val="00427B79"/>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C57A6"/>
    <w:rsid w:val="004D772F"/>
    <w:rsid w:val="004F3ABB"/>
    <w:rsid w:val="004F3DE1"/>
    <w:rsid w:val="004F4DA5"/>
    <w:rsid w:val="00501D40"/>
    <w:rsid w:val="00505D79"/>
    <w:rsid w:val="00510EE4"/>
    <w:rsid w:val="0051740A"/>
    <w:rsid w:val="00522308"/>
    <w:rsid w:val="0052306C"/>
    <w:rsid w:val="00535FDA"/>
    <w:rsid w:val="00540F48"/>
    <w:rsid w:val="005441DE"/>
    <w:rsid w:val="005503D3"/>
    <w:rsid w:val="00554B28"/>
    <w:rsid w:val="005556CA"/>
    <w:rsid w:val="005565CE"/>
    <w:rsid w:val="005647B4"/>
    <w:rsid w:val="005650D9"/>
    <w:rsid w:val="00567957"/>
    <w:rsid w:val="005905A5"/>
    <w:rsid w:val="00590643"/>
    <w:rsid w:val="00590C2D"/>
    <w:rsid w:val="00590D95"/>
    <w:rsid w:val="00594E5C"/>
    <w:rsid w:val="005A2F43"/>
    <w:rsid w:val="005C0258"/>
    <w:rsid w:val="005C253D"/>
    <w:rsid w:val="005C5909"/>
    <w:rsid w:val="005D0118"/>
    <w:rsid w:val="005E5192"/>
    <w:rsid w:val="005F2240"/>
    <w:rsid w:val="005F30BC"/>
    <w:rsid w:val="005F3E96"/>
    <w:rsid w:val="006055D1"/>
    <w:rsid w:val="00611694"/>
    <w:rsid w:val="006117FC"/>
    <w:rsid w:val="0061188C"/>
    <w:rsid w:val="00617ACF"/>
    <w:rsid w:val="006262ED"/>
    <w:rsid w:val="006319DC"/>
    <w:rsid w:val="00645585"/>
    <w:rsid w:val="006562FF"/>
    <w:rsid w:val="00673029"/>
    <w:rsid w:val="00676187"/>
    <w:rsid w:val="00680533"/>
    <w:rsid w:val="006864CA"/>
    <w:rsid w:val="00691120"/>
    <w:rsid w:val="006937EC"/>
    <w:rsid w:val="006951FC"/>
    <w:rsid w:val="006A0BDD"/>
    <w:rsid w:val="006B39ED"/>
    <w:rsid w:val="006C5E0D"/>
    <w:rsid w:val="006D3C8A"/>
    <w:rsid w:val="006D3CE1"/>
    <w:rsid w:val="006E22C9"/>
    <w:rsid w:val="006E5F97"/>
    <w:rsid w:val="006E7B36"/>
    <w:rsid w:val="006F081D"/>
    <w:rsid w:val="006F0A01"/>
    <w:rsid w:val="00713CFD"/>
    <w:rsid w:val="00715A51"/>
    <w:rsid w:val="00720D2F"/>
    <w:rsid w:val="00723CDA"/>
    <w:rsid w:val="00730193"/>
    <w:rsid w:val="00733675"/>
    <w:rsid w:val="007349D6"/>
    <w:rsid w:val="00740940"/>
    <w:rsid w:val="00740A46"/>
    <w:rsid w:val="00740DA3"/>
    <w:rsid w:val="00744BA1"/>
    <w:rsid w:val="00744F8C"/>
    <w:rsid w:val="00761D8C"/>
    <w:rsid w:val="007626E7"/>
    <w:rsid w:val="00765F0B"/>
    <w:rsid w:val="00772781"/>
    <w:rsid w:val="00772B4B"/>
    <w:rsid w:val="00773AAF"/>
    <w:rsid w:val="007763E8"/>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03A"/>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B415E"/>
    <w:rsid w:val="008C025D"/>
    <w:rsid w:val="008C63A7"/>
    <w:rsid w:val="008C7093"/>
    <w:rsid w:val="008D4328"/>
    <w:rsid w:val="008E733E"/>
    <w:rsid w:val="008E7A8C"/>
    <w:rsid w:val="008F212A"/>
    <w:rsid w:val="008F2800"/>
    <w:rsid w:val="0090262D"/>
    <w:rsid w:val="00906020"/>
    <w:rsid w:val="009066EC"/>
    <w:rsid w:val="009143F1"/>
    <w:rsid w:val="00920E8D"/>
    <w:rsid w:val="00922197"/>
    <w:rsid w:val="0092423B"/>
    <w:rsid w:val="00930786"/>
    <w:rsid w:val="0093474A"/>
    <w:rsid w:val="00945937"/>
    <w:rsid w:val="00950BDB"/>
    <w:rsid w:val="00952EF3"/>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D7D32"/>
    <w:rsid w:val="009E0EE0"/>
    <w:rsid w:val="009F4960"/>
    <w:rsid w:val="009F6B96"/>
    <w:rsid w:val="009F7A37"/>
    <w:rsid w:val="009F7B67"/>
    <w:rsid w:val="00A02ED0"/>
    <w:rsid w:val="00A07D73"/>
    <w:rsid w:val="00A1541E"/>
    <w:rsid w:val="00A21BA7"/>
    <w:rsid w:val="00A22908"/>
    <w:rsid w:val="00A23B00"/>
    <w:rsid w:val="00A245A7"/>
    <w:rsid w:val="00A2672A"/>
    <w:rsid w:val="00A276D9"/>
    <w:rsid w:val="00A2786C"/>
    <w:rsid w:val="00A37A86"/>
    <w:rsid w:val="00A42F36"/>
    <w:rsid w:val="00A5179E"/>
    <w:rsid w:val="00A57FC6"/>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220DB"/>
    <w:rsid w:val="00B32C98"/>
    <w:rsid w:val="00B3675E"/>
    <w:rsid w:val="00B41044"/>
    <w:rsid w:val="00B516DB"/>
    <w:rsid w:val="00B52EEC"/>
    <w:rsid w:val="00B57FAA"/>
    <w:rsid w:val="00B64246"/>
    <w:rsid w:val="00B73B30"/>
    <w:rsid w:val="00B821C2"/>
    <w:rsid w:val="00B83FC5"/>
    <w:rsid w:val="00B847EF"/>
    <w:rsid w:val="00B84C49"/>
    <w:rsid w:val="00B91C16"/>
    <w:rsid w:val="00B9285A"/>
    <w:rsid w:val="00B97DB6"/>
    <w:rsid w:val="00BA5115"/>
    <w:rsid w:val="00BB27D3"/>
    <w:rsid w:val="00BB325C"/>
    <w:rsid w:val="00BB4414"/>
    <w:rsid w:val="00BB488C"/>
    <w:rsid w:val="00BB48A7"/>
    <w:rsid w:val="00BB6D90"/>
    <w:rsid w:val="00BC31E0"/>
    <w:rsid w:val="00BD16B5"/>
    <w:rsid w:val="00BD2985"/>
    <w:rsid w:val="00BF70DB"/>
    <w:rsid w:val="00C02557"/>
    <w:rsid w:val="00C0383A"/>
    <w:rsid w:val="00C076A9"/>
    <w:rsid w:val="00C1158A"/>
    <w:rsid w:val="00C12852"/>
    <w:rsid w:val="00C130B3"/>
    <w:rsid w:val="00C20869"/>
    <w:rsid w:val="00C333E3"/>
    <w:rsid w:val="00C43E73"/>
    <w:rsid w:val="00C4764C"/>
    <w:rsid w:val="00C544E1"/>
    <w:rsid w:val="00C547F0"/>
    <w:rsid w:val="00C602B8"/>
    <w:rsid w:val="00C6233A"/>
    <w:rsid w:val="00C66C13"/>
    <w:rsid w:val="00C73E2A"/>
    <w:rsid w:val="00C752C4"/>
    <w:rsid w:val="00C753D8"/>
    <w:rsid w:val="00C80923"/>
    <w:rsid w:val="00C9078E"/>
    <w:rsid w:val="00C93875"/>
    <w:rsid w:val="00CA2B8E"/>
    <w:rsid w:val="00CA6667"/>
    <w:rsid w:val="00CB2472"/>
    <w:rsid w:val="00CB26E2"/>
    <w:rsid w:val="00CB2E4E"/>
    <w:rsid w:val="00CC3ACF"/>
    <w:rsid w:val="00CC7CC1"/>
    <w:rsid w:val="00CD270D"/>
    <w:rsid w:val="00CD53CB"/>
    <w:rsid w:val="00CD6AB1"/>
    <w:rsid w:val="00CD6EAF"/>
    <w:rsid w:val="00CE55B7"/>
    <w:rsid w:val="00CF0462"/>
    <w:rsid w:val="00CF1560"/>
    <w:rsid w:val="00CF242A"/>
    <w:rsid w:val="00CF3D2E"/>
    <w:rsid w:val="00D0055C"/>
    <w:rsid w:val="00D05844"/>
    <w:rsid w:val="00D061BB"/>
    <w:rsid w:val="00D10121"/>
    <w:rsid w:val="00D152FB"/>
    <w:rsid w:val="00D207EA"/>
    <w:rsid w:val="00D2727B"/>
    <w:rsid w:val="00D31010"/>
    <w:rsid w:val="00D31447"/>
    <w:rsid w:val="00D35B4C"/>
    <w:rsid w:val="00D36317"/>
    <w:rsid w:val="00D40E34"/>
    <w:rsid w:val="00D51491"/>
    <w:rsid w:val="00D549C7"/>
    <w:rsid w:val="00D92BA5"/>
    <w:rsid w:val="00DA127D"/>
    <w:rsid w:val="00DA5A47"/>
    <w:rsid w:val="00DB39B5"/>
    <w:rsid w:val="00DB53B7"/>
    <w:rsid w:val="00DC4358"/>
    <w:rsid w:val="00DC792E"/>
    <w:rsid w:val="00DD14BB"/>
    <w:rsid w:val="00DE7A32"/>
    <w:rsid w:val="00DF3DF1"/>
    <w:rsid w:val="00DF782C"/>
    <w:rsid w:val="00E10CF1"/>
    <w:rsid w:val="00E15203"/>
    <w:rsid w:val="00E216B3"/>
    <w:rsid w:val="00E27554"/>
    <w:rsid w:val="00E27A90"/>
    <w:rsid w:val="00E317C2"/>
    <w:rsid w:val="00E33228"/>
    <w:rsid w:val="00E3588D"/>
    <w:rsid w:val="00E41E1B"/>
    <w:rsid w:val="00E450E5"/>
    <w:rsid w:val="00E51DF4"/>
    <w:rsid w:val="00E535E4"/>
    <w:rsid w:val="00E61519"/>
    <w:rsid w:val="00E6179D"/>
    <w:rsid w:val="00E676E0"/>
    <w:rsid w:val="00E82D3D"/>
    <w:rsid w:val="00E93266"/>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722"/>
    <w:rsid w:val="00F42584"/>
    <w:rsid w:val="00F665AF"/>
    <w:rsid w:val="00F67DF2"/>
    <w:rsid w:val="00F72355"/>
    <w:rsid w:val="00F776CD"/>
    <w:rsid w:val="00F8373B"/>
    <w:rsid w:val="00FA6405"/>
    <w:rsid w:val="00FA79CE"/>
    <w:rsid w:val="00FB274F"/>
    <w:rsid w:val="00FB681C"/>
    <w:rsid w:val="00FC605B"/>
    <w:rsid w:val="00FD1FAD"/>
    <w:rsid w:val="00FE28D1"/>
    <w:rsid w:val="00FE3088"/>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59B4F-778A-4065-81E5-8D5BE77E9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19</Pages>
  <Words>3824</Words>
  <Characters>21032</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69</cp:revision>
  <cp:lastPrinted>2018-12-17T20:36:00Z</cp:lastPrinted>
  <dcterms:created xsi:type="dcterms:W3CDTF">2018-10-22T18:42:00Z</dcterms:created>
  <dcterms:modified xsi:type="dcterms:W3CDTF">2019-01-30T01:30:00Z</dcterms:modified>
</cp:coreProperties>
</file>